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F3D34" w14:textId="77777777" w:rsidR="00FB5C1F" w:rsidRPr="00B80AEA" w:rsidRDefault="0099529E" w:rsidP="00362DE1">
      <w:pPr>
        <w:ind w:right="3400"/>
        <w:jc w:val="both"/>
        <w:rPr>
          <w:rFonts w:ascii="Arial" w:hAnsi="Arial" w:cs="Arial"/>
          <w:sz w:val="24"/>
          <w:szCs w:val="24"/>
        </w:rPr>
      </w:pPr>
      <w:r>
        <w:rPr>
          <w:noProof/>
          <w:lang w:eastAsia="de-DE"/>
        </w:rPr>
        <w:drawing>
          <wp:anchor distT="0" distB="0" distL="114300" distR="114300" simplePos="0" relativeHeight="251657728" behindDoc="1" locked="0" layoutInCell="1" allowOverlap="1" wp14:anchorId="1035241C" wp14:editId="16E8FC6E">
            <wp:simplePos x="0" y="0"/>
            <wp:positionH relativeFrom="margin">
              <wp:posOffset>1905</wp:posOffset>
            </wp:positionH>
            <wp:positionV relativeFrom="margin">
              <wp:posOffset>-127899</wp:posOffset>
            </wp:positionV>
            <wp:extent cx="1724025" cy="1721485"/>
            <wp:effectExtent l="0" t="0" r="9525" b="0"/>
            <wp:wrapTight wrapText="bothSides">
              <wp:wrapPolygon edited="0">
                <wp:start x="0" y="0"/>
                <wp:lineTo x="0" y="21273"/>
                <wp:lineTo x="21481" y="21273"/>
                <wp:lineTo x="21481"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BA246" w14:textId="77777777" w:rsidR="00FB5C1F" w:rsidRPr="00B80AEA" w:rsidRDefault="00FB5C1F" w:rsidP="00362DE1">
      <w:pPr>
        <w:ind w:right="3400"/>
        <w:jc w:val="both"/>
        <w:rPr>
          <w:rFonts w:ascii="Arial" w:hAnsi="Arial" w:cs="Arial"/>
          <w:sz w:val="24"/>
          <w:szCs w:val="24"/>
        </w:rPr>
      </w:pPr>
    </w:p>
    <w:p w14:paraId="1D1D1B9E" w14:textId="77777777" w:rsidR="00FB5C1F" w:rsidRPr="00B80AEA" w:rsidRDefault="00FB5C1F" w:rsidP="00362DE1">
      <w:pPr>
        <w:ind w:right="3400"/>
        <w:jc w:val="both"/>
        <w:rPr>
          <w:rFonts w:ascii="Arial" w:hAnsi="Arial" w:cs="Arial"/>
          <w:sz w:val="24"/>
          <w:szCs w:val="24"/>
        </w:rPr>
      </w:pPr>
    </w:p>
    <w:p w14:paraId="00B93B1E" w14:textId="77777777" w:rsidR="00FB5C1F" w:rsidRPr="00B80AEA" w:rsidRDefault="00FB5C1F" w:rsidP="00362DE1">
      <w:pPr>
        <w:ind w:right="3400"/>
        <w:jc w:val="both"/>
        <w:rPr>
          <w:rFonts w:ascii="Arial" w:hAnsi="Arial" w:cs="Arial"/>
          <w:sz w:val="24"/>
          <w:szCs w:val="24"/>
        </w:rPr>
      </w:pPr>
    </w:p>
    <w:p w14:paraId="5D1DA2A6" w14:textId="77777777" w:rsidR="00FB5C1F" w:rsidRPr="00B80AEA" w:rsidRDefault="00FB5C1F" w:rsidP="00362DE1">
      <w:pPr>
        <w:ind w:right="3400"/>
        <w:jc w:val="both"/>
        <w:rPr>
          <w:rFonts w:ascii="Arial" w:hAnsi="Arial" w:cs="Arial"/>
          <w:sz w:val="24"/>
          <w:szCs w:val="24"/>
        </w:rPr>
      </w:pPr>
    </w:p>
    <w:p w14:paraId="7D184339" w14:textId="1FA3A006" w:rsidR="00A810BA" w:rsidRDefault="00A810BA" w:rsidP="00664560">
      <w:pPr>
        <w:spacing w:line="360" w:lineRule="auto"/>
        <w:ind w:right="3400"/>
        <w:jc w:val="both"/>
        <w:rPr>
          <w:rFonts w:ascii="Arial" w:hAnsi="Arial" w:cs="Arial"/>
          <w:b/>
          <w:sz w:val="24"/>
          <w:szCs w:val="24"/>
        </w:rPr>
      </w:pPr>
    </w:p>
    <w:p w14:paraId="797087AC" w14:textId="3B6084CE" w:rsidR="00B25144" w:rsidRDefault="00B25144" w:rsidP="00664560">
      <w:pPr>
        <w:spacing w:line="360" w:lineRule="auto"/>
        <w:ind w:right="3400"/>
        <w:jc w:val="both"/>
        <w:rPr>
          <w:rFonts w:ascii="Arial" w:hAnsi="Arial" w:cs="Arial"/>
          <w:b/>
          <w:sz w:val="24"/>
          <w:szCs w:val="24"/>
        </w:rPr>
      </w:pPr>
      <w:r>
        <w:rPr>
          <w:rFonts w:ascii="Arial" w:hAnsi="Arial" w:cs="Arial"/>
          <w:b/>
          <w:sz w:val="24"/>
          <w:szCs w:val="24"/>
        </w:rPr>
        <w:t>„Ein Gewinn für Deutschland“</w:t>
      </w:r>
      <w:bookmarkStart w:id="0" w:name="_GoBack"/>
      <w:bookmarkEnd w:id="0"/>
    </w:p>
    <w:p w14:paraId="3D3A6A90" w14:textId="7EB6080C" w:rsidR="00664560" w:rsidRPr="00664560" w:rsidRDefault="00B25144" w:rsidP="00664560">
      <w:pPr>
        <w:spacing w:line="360" w:lineRule="auto"/>
        <w:ind w:right="3400"/>
        <w:jc w:val="both"/>
        <w:rPr>
          <w:rFonts w:ascii="Arial" w:hAnsi="Arial" w:cs="Arial"/>
          <w:b/>
          <w:sz w:val="24"/>
          <w:szCs w:val="24"/>
        </w:rPr>
      </w:pPr>
      <w:r>
        <w:rPr>
          <w:rFonts w:ascii="Arial" w:hAnsi="Arial" w:cs="Arial"/>
          <w:b/>
          <w:sz w:val="24"/>
          <w:szCs w:val="24"/>
        </w:rPr>
        <w:t xml:space="preserve">Prof. Glaeske befürwortet </w:t>
      </w:r>
      <w:r w:rsidR="00E2299D">
        <w:rPr>
          <w:rFonts w:ascii="Arial" w:hAnsi="Arial" w:cs="Arial"/>
          <w:b/>
          <w:sz w:val="24"/>
          <w:szCs w:val="24"/>
        </w:rPr>
        <w:t>Nutri-Score</w:t>
      </w:r>
      <w:r>
        <w:rPr>
          <w:rFonts w:ascii="Arial" w:hAnsi="Arial" w:cs="Arial"/>
          <w:b/>
          <w:sz w:val="24"/>
          <w:szCs w:val="24"/>
        </w:rPr>
        <w:t xml:space="preserve"> als Wegweiser im Ernährungs-Dschungel /</w:t>
      </w:r>
      <w:r w:rsidR="00E2299D">
        <w:rPr>
          <w:rFonts w:ascii="Arial" w:hAnsi="Arial" w:cs="Arial"/>
          <w:b/>
          <w:sz w:val="24"/>
          <w:szCs w:val="24"/>
        </w:rPr>
        <w:t xml:space="preserve"> </w:t>
      </w:r>
      <w:r>
        <w:rPr>
          <w:rFonts w:ascii="Arial" w:hAnsi="Arial" w:cs="Arial"/>
          <w:b/>
          <w:sz w:val="24"/>
          <w:szCs w:val="24"/>
        </w:rPr>
        <w:t xml:space="preserve">Prävention </w:t>
      </w:r>
      <w:r w:rsidR="00E2299D">
        <w:rPr>
          <w:rFonts w:ascii="Arial" w:hAnsi="Arial" w:cs="Arial"/>
          <w:b/>
          <w:sz w:val="24"/>
          <w:szCs w:val="24"/>
        </w:rPr>
        <w:t>braucht klare Hinweise / „Länger besser leben.“ der BKK24 gutes Beispiel</w:t>
      </w:r>
      <w:r>
        <w:rPr>
          <w:rFonts w:ascii="Arial" w:hAnsi="Arial" w:cs="Arial"/>
          <w:b/>
          <w:sz w:val="24"/>
          <w:szCs w:val="24"/>
        </w:rPr>
        <w:t xml:space="preserve"> dafür</w:t>
      </w:r>
    </w:p>
    <w:p w14:paraId="4A7BBD27" w14:textId="7DD4F73B" w:rsidR="00664560" w:rsidRDefault="00664560" w:rsidP="00664560">
      <w:pPr>
        <w:spacing w:line="360" w:lineRule="auto"/>
        <w:ind w:right="3400"/>
        <w:jc w:val="both"/>
        <w:rPr>
          <w:rFonts w:ascii="Arial" w:hAnsi="Arial" w:cs="Arial"/>
          <w:sz w:val="24"/>
          <w:szCs w:val="24"/>
        </w:rPr>
      </w:pPr>
      <w:r w:rsidRPr="00664560">
        <w:rPr>
          <w:rFonts w:ascii="Arial" w:hAnsi="Arial" w:cs="Arial"/>
          <w:sz w:val="24"/>
          <w:szCs w:val="24"/>
        </w:rPr>
        <w:t xml:space="preserve">Es war und ist noch immer ein viel diskutiertes Thema: </w:t>
      </w:r>
      <w:r w:rsidR="00E2299D">
        <w:rPr>
          <w:rFonts w:ascii="Arial" w:hAnsi="Arial" w:cs="Arial"/>
          <w:sz w:val="24"/>
          <w:szCs w:val="24"/>
        </w:rPr>
        <w:t>Vor Kurzem</w:t>
      </w:r>
      <w:r w:rsidRPr="00664560">
        <w:rPr>
          <w:rFonts w:ascii="Arial" w:hAnsi="Arial" w:cs="Arial"/>
          <w:sz w:val="24"/>
          <w:szCs w:val="24"/>
        </w:rPr>
        <w:t xml:space="preserve"> wurde er nun auch in Deutschland eingeführt – der Nutri-Score. Was hat es damit auf sich</w:t>
      </w:r>
      <w:r w:rsidR="00937446">
        <w:rPr>
          <w:rFonts w:ascii="Arial" w:hAnsi="Arial" w:cs="Arial"/>
          <w:sz w:val="24"/>
          <w:szCs w:val="24"/>
        </w:rPr>
        <w:t>?</w:t>
      </w:r>
      <w:r w:rsidRPr="00664560">
        <w:rPr>
          <w:rFonts w:ascii="Arial" w:hAnsi="Arial" w:cs="Arial"/>
          <w:sz w:val="24"/>
          <w:szCs w:val="24"/>
        </w:rPr>
        <w:t xml:space="preserve"> </w:t>
      </w:r>
    </w:p>
    <w:p w14:paraId="5AFC0E92" w14:textId="7C14310D" w:rsidR="00937446" w:rsidRDefault="00937446" w:rsidP="00664560">
      <w:pPr>
        <w:spacing w:line="360" w:lineRule="auto"/>
        <w:ind w:right="3400"/>
        <w:jc w:val="both"/>
        <w:rPr>
          <w:rFonts w:ascii="Arial" w:hAnsi="Arial" w:cs="Arial"/>
          <w:sz w:val="24"/>
          <w:szCs w:val="24"/>
        </w:rPr>
      </w:pPr>
      <w:r>
        <w:rPr>
          <w:rFonts w:ascii="Arial" w:hAnsi="Arial" w:cs="Arial"/>
          <w:sz w:val="24"/>
          <w:szCs w:val="24"/>
        </w:rPr>
        <w:t>Grundsätzlich geht es</w:t>
      </w:r>
      <w:r w:rsidR="00664560" w:rsidRPr="00664560">
        <w:rPr>
          <w:rFonts w:ascii="Arial" w:hAnsi="Arial" w:cs="Arial"/>
          <w:sz w:val="24"/>
          <w:szCs w:val="24"/>
        </w:rPr>
        <w:t xml:space="preserve"> um die freiwillige Ver</w:t>
      </w:r>
      <w:r>
        <w:rPr>
          <w:rFonts w:ascii="Arial" w:hAnsi="Arial" w:cs="Arial"/>
          <w:sz w:val="24"/>
          <w:szCs w:val="24"/>
        </w:rPr>
        <w:t>wendung einer Lebensmittelampel.</w:t>
      </w:r>
      <w:r w:rsidR="00664560" w:rsidRPr="00664560">
        <w:rPr>
          <w:rFonts w:ascii="Arial" w:hAnsi="Arial" w:cs="Arial"/>
          <w:sz w:val="24"/>
          <w:szCs w:val="24"/>
        </w:rPr>
        <w:t xml:space="preserve"> </w:t>
      </w:r>
      <w:r>
        <w:rPr>
          <w:rFonts w:ascii="Arial" w:hAnsi="Arial" w:cs="Arial"/>
          <w:sz w:val="24"/>
          <w:szCs w:val="24"/>
        </w:rPr>
        <w:t>E</w:t>
      </w:r>
      <w:r w:rsidR="00664560" w:rsidRPr="00664560">
        <w:rPr>
          <w:rFonts w:ascii="Arial" w:hAnsi="Arial" w:cs="Arial"/>
          <w:sz w:val="24"/>
          <w:szCs w:val="24"/>
        </w:rPr>
        <w:t xml:space="preserve">iner Ampel, mit der ein Wegweiser durch den Dschungel der Fertigprodukte und verarbeiteten Lebensmittel angeboten werden soll. </w:t>
      </w:r>
      <w:r>
        <w:rPr>
          <w:rFonts w:ascii="Arial" w:hAnsi="Arial" w:cs="Arial"/>
          <w:sz w:val="24"/>
          <w:szCs w:val="24"/>
        </w:rPr>
        <w:t xml:space="preserve">„Der Nutri-Score </w:t>
      </w:r>
      <w:r w:rsidR="00664560" w:rsidRPr="00664560">
        <w:rPr>
          <w:rFonts w:ascii="Arial" w:hAnsi="Arial" w:cs="Arial"/>
          <w:sz w:val="24"/>
          <w:szCs w:val="24"/>
        </w:rPr>
        <w:t xml:space="preserve">soll es </w:t>
      </w:r>
      <w:r>
        <w:rPr>
          <w:rFonts w:ascii="Arial" w:hAnsi="Arial" w:cs="Arial"/>
          <w:sz w:val="24"/>
          <w:szCs w:val="24"/>
        </w:rPr>
        <w:t xml:space="preserve">dabei </w:t>
      </w:r>
      <w:r w:rsidR="00664560" w:rsidRPr="00664560">
        <w:rPr>
          <w:rFonts w:ascii="Arial" w:hAnsi="Arial" w:cs="Arial"/>
          <w:sz w:val="24"/>
          <w:szCs w:val="24"/>
        </w:rPr>
        <w:t>einfacher machen, die Lebensmittel und Fertigprodukte besser auf ihren Gesund</w:t>
      </w:r>
      <w:r>
        <w:rPr>
          <w:rFonts w:ascii="Arial" w:hAnsi="Arial" w:cs="Arial"/>
          <w:sz w:val="24"/>
          <w:szCs w:val="24"/>
        </w:rPr>
        <w:t xml:space="preserve">heitswert einschätzen zu können“, formuliert Prof. Gerd Glaeske und meint dabei </w:t>
      </w:r>
      <w:r w:rsidR="00A31947">
        <w:rPr>
          <w:rFonts w:ascii="Arial" w:hAnsi="Arial" w:cs="Arial"/>
          <w:sz w:val="24"/>
          <w:szCs w:val="24"/>
        </w:rPr>
        <w:t>die Kennzeichnung</w:t>
      </w:r>
      <w:r>
        <w:rPr>
          <w:rFonts w:ascii="Arial" w:hAnsi="Arial" w:cs="Arial"/>
          <w:sz w:val="24"/>
          <w:szCs w:val="24"/>
        </w:rPr>
        <w:t xml:space="preserve"> </w:t>
      </w:r>
      <w:r w:rsidR="00A810BA">
        <w:rPr>
          <w:rFonts w:ascii="Arial" w:hAnsi="Arial" w:cs="Arial"/>
          <w:sz w:val="24"/>
          <w:szCs w:val="24"/>
        </w:rPr>
        <w:t>mittels Buchstabe</w:t>
      </w:r>
      <w:r w:rsidR="00E2299D">
        <w:rPr>
          <w:rFonts w:ascii="Arial" w:hAnsi="Arial" w:cs="Arial"/>
          <w:sz w:val="24"/>
          <w:szCs w:val="24"/>
        </w:rPr>
        <w:t>n</w:t>
      </w:r>
      <w:r>
        <w:rPr>
          <w:rFonts w:ascii="Arial" w:hAnsi="Arial" w:cs="Arial"/>
          <w:sz w:val="24"/>
          <w:szCs w:val="24"/>
        </w:rPr>
        <w:t xml:space="preserve"> und Farbe</w:t>
      </w:r>
      <w:r w:rsidR="00E2299D">
        <w:rPr>
          <w:rFonts w:ascii="Arial" w:hAnsi="Arial" w:cs="Arial"/>
          <w:sz w:val="24"/>
          <w:szCs w:val="24"/>
        </w:rPr>
        <w:t>n</w:t>
      </w:r>
      <w:r>
        <w:rPr>
          <w:rFonts w:ascii="Arial" w:hAnsi="Arial" w:cs="Arial"/>
          <w:sz w:val="24"/>
          <w:szCs w:val="24"/>
        </w:rPr>
        <w:t xml:space="preserve">. </w:t>
      </w:r>
      <w:r w:rsidR="00A810BA">
        <w:rPr>
          <w:rFonts w:ascii="Arial" w:hAnsi="Arial" w:cs="Arial"/>
          <w:sz w:val="24"/>
          <w:szCs w:val="24"/>
        </w:rPr>
        <w:t>Für den</w:t>
      </w:r>
      <w:r>
        <w:rPr>
          <w:rFonts w:ascii="Arial" w:hAnsi="Arial" w:cs="Arial"/>
          <w:sz w:val="24"/>
          <w:szCs w:val="24"/>
        </w:rPr>
        <w:t xml:space="preserve"> Leiter des „Länger besser leben.“-Instituts, einer gemeinsamen Einrichtung von Universität Bremen und Krankenkasse BKK24, </w:t>
      </w:r>
      <w:r w:rsidR="00A810BA">
        <w:rPr>
          <w:rFonts w:ascii="Arial" w:hAnsi="Arial" w:cs="Arial"/>
          <w:sz w:val="24"/>
          <w:szCs w:val="24"/>
        </w:rPr>
        <w:t>werden auf diese Weise „positive oder negative Inhaltsstoffe“ schnell erkennbar.</w:t>
      </w:r>
    </w:p>
    <w:p w14:paraId="68CE0D81" w14:textId="437FD6BF" w:rsidR="00A810BA" w:rsidRDefault="00664560" w:rsidP="00664560">
      <w:pPr>
        <w:spacing w:line="360" w:lineRule="auto"/>
        <w:ind w:right="3400"/>
        <w:jc w:val="both"/>
        <w:rPr>
          <w:rFonts w:ascii="Arial" w:hAnsi="Arial" w:cs="Arial"/>
          <w:sz w:val="24"/>
          <w:szCs w:val="24"/>
        </w:rPr>
      </w:pPr>
      <w:r w:rsidRPr="00664560">
        <w:rPr>
          <w:rFonts w:ascii="Arial" w:hAnsi="Arial" w:cs="Arial"/>
          <w:sz w:val="24"/>
          <w:szCs w:val="24"/>
        </w:rPr>
        <w:t>Positiv im Vergleich zu nega</w:t>
      </w:r>
      <w:r w:rsidR="00A810BA">
        <w:rPr>
          <w:rFonts w:ascii="Arial" w:hAnsi="Arial" w:cs="Arial"/>
          <w:sz w:val="24"/>
          <w:szCs w:val="24"/>
        </w:rPr>
        <w:t>tiv sind in der Beurteilung zum Beispiel:</w:t>
      </w:r>
      <w:r w:rsidRPr="00664560">
        <w:rPr>
          <w:rFonts w:ascii="Arial" w:hAnsi="Arial" w:cs="Arial"/>
          <w:sz w:val="24"/>
          <w:szCs w:val="24"/>
        </w:rPr>
        <w:t xml:space="preserve"> ungesättigte Fette im Vergleich zu gesättigten Fettsäuren, viel Salz und/oder Zucker im Vergleich zu reduzierten Mengen</w:t>
      </w:r>
      <w:r w:rsidR="00A810BA">
        <w:rPr>
          <w:rFonts w:ascii="Arial" w:hAnsi="Arial" w:cs="Arial"/>
          <w:sz w:val="24"/>
          <w:szCs w:val="24"/>
        </w:rPr>
        <w:t xml:space="preserve"> oder</w:t>
      </w:r>
      <w:r w:rsidRPr="00664560">
        <w:rPr>
          <w:rFonts w:ascii="Arial" w:hAnsi="Arial" w:cs="Arial"/>
          <w:sz w:val="24"/>
          <w:szCs w:val="24"/>
        </w:rPr>
        <w:t xml:space="preserve"> hoher zu niedrigem Energiegehalt</w:t>
      </w:r>
      <w:r w:rsidR="00A810BA">
        <w:rPr>
          <w:rFonts w:ascii="Arial" w:hAnsi="Arial" w:cs="Arial"/>
          <w:sz w:val="24"/>
          <w:szCs w:val="24"/>
        </w:rPr>
        <w:t>.</w:t>
      </w:r>
      <w:r w:rsidRPr="00664560">
        <w:rPr>
          <w:rFonts w:ascii="Arial" w:hAnsi="Arial" w:cs="Arial"/>
          <w:sz w:val="24"/>
          <w:szCs w:val="24"/>
        </w:rPr>
        <w:t xml:space="preserve"> Aus diesen </w:t>
      </w:r>
      <w:r w:rsidR="00E2299D">
        <w:rPr>
          <w:rFonts w:ascii="Arial" w:hAnsi="Arial" w:cs="Arial"/>
          <w:sz w:val="24"/>
          <w:szCs w:val="24"/>
        </w:rPr>
        <w:t>Einzelaspekten</w:t>
      </w:r>
      <w:r w:rsidRPr="00664560">
        <w:rPr>
          <w:rFonts w:ascii="Arial" w:hAnsi="Arial" w:cs="Arial"/>
          <w:sz w:val="24"/>
          <w:szCs w:val="24"/>
        </w:rPr>
        <w:t xml:space="preserve"> wird ein Punktestand</w:t>
      </w:r>
      <w:r w:rsidR="00A810BA">
        <w:rPr>
          <w:rFonts w:ascii="Arial" w:hAnsi="Arial" w:cs="Arial"/>
          <w:sz w:val="24"/>
          <w:szCs w:val="24"/>
        </w:rPr>
        <w:t xml:space="preserve"> </w:t>
      </w:r>
      <w:r w:rsidRPr="00664560">
        <w:rPr>
          <w:rFonts w:ascii="Arial" w:hAnsi="Arial" w:cs="Arial"/>
          <w:sz w:val="24"/>
          <w:szCs w:val="24"/>
        </w:rPr>
        <w:t>(engl. Score) für die Ernähru</w:t>
      </w:r>
      <w:r w:rsidR="00A810BA">
        <w:rPr>
          <w:rFonts w:ascii="Arial" w:hAnsi="Arial" w:cs="Arial"/>
          <w:sz w:val="24"/>
          <w:szCs w:val="24"/>
        </w:rPr>
        <w:t xml:space="preserve">ng (engl. Nutrition) berechnet. </w:t>
      </w:r>
      <w:r w:rsidRPr="00664560">
        <w:rPr>
          <w:rFonts w:ascii="Arial" w:hAnsi="Arial" w:cs="Arial"/>
          <w:sz w:val="24"/>
          <w:szCs w:val="24"/>
        </w:rPr>
        <w:t>Das Ergebnis wird dann in einer</w:t>
      </w:r>
      <w:r w:rsidR="00A810BA">
        <w:rPr>
          <w:rFonts w:ascii="Arial" w:hAnsi="Arial" w:cs="Arial"/>
          <w:sz w:val="24"/>
          <w:szCs w:val="24"/>
        </w:rPr>
        <w:t xml:space="preserve"> fünfstufigen Skala dargestellt.</w:t>
      </w:r>
      <w:r w:rsidRPr="00664560">
        <w:rPr>
          <w:rFonts w:ascii="Arial" w:hAnsi="Arial" w:cs="Arial"/>
          <w:sz w:val="24"/>
          <w:szCs w:val="24"/>
        </w:rPr>
        <w:t xml:space="preserve"> Von einem grünen „A“ – geeignete Zusammensetzung – bis zum roten „E“ – wenig geeignetes Produkt. </w:t>
      </w:r>
    </w:p>
    <w:p w14:paraId="0516E3B8" w14:textId="2176118C" w:rsidR="00664560" w:rsidRPr="00664560" w:rsidRDefault="00A810BA" w:rsidP="00664560">
      <w:pPr>
        <w:spacing w:line="360" w:lineRule="auto"/>
        <w:ind w:right="3400"/>
        <w:jc w:val="both"/>
        <w:rPr>
          <w:rFonts w:ascii="Arial" w:hAnsi="Arial" w:cs="Arial"/>
          <w:sz w:val="24"/>
          <w:szCs w:val="24"/>
        </w:rPr>
      </w:pPr>
      <w:r>
        <w:rPr>
          <w:rFonts w:ascii="Arial" w:hAnsi="Arial" w:cs="Arial"/>
          <w:sz w:val="24"/>
          <w:szCs w:val="24"/>
        </w:rPr>
        <w:t>„</w:t>
      </w:r>
      <w:r w:rsidR="00664560" w:rsidRPr="00664560">
        <w:rPr>
          <w:rFonts w:ascii="Arial" w:hAnsi="Arial" w:cs="Arial"/>
          <w:sz w:val="24"/>
          <w:szCs w:val="24"/>
        </w:rPr>
        <w:t xml:space="preserve">Diese Transparenz, die letztlich eine vergleichende Bewertung verschiedener Lebensmittel der gleichen Produktgruppen ermöglicht, </w:t>
      </w:r>
      <w:r w:rsidR="00664560" w:rsidRPr="00664560">
        <w:rPr>
          <w:rFonts w:ascii="Arial" w:hAnsi="Arial" w:cs="Arial"/>
          <w:sz w:val="24"/>
          <w:szCs w:val="24"/>
        </w:rPr>
        <w:lastRenderedPageBreak/>
        <w:t xml:space="preserve">angefangen von unterschiedlichen Pizzen über weitere Fertiggerichte aus der Tiefkühltruhe bis hin zu Milchprodukten wie </w:t>
      </w:r>
      <w:r>
        <w:rPr>
          <w:rFonts w:ascii="Arial" w:hAnsi="Arial" w:cs="Arial"/>
          <w:sz w:val="24"/>
          <w:szCs w:val="24"/>
        </w:rPr>
        <w:t xml:space="preserve">Joghurt oder Fertigmüsli, soll </w:t>
      </w:r>
      <w:r w:rsidR="00664560" w:rsidRPr="00664560">
        <w:rPr>
          <w:rFonts w:ascii="Arial" w:hAnsi="Arial" w:cs="Arial"/>
          <w:sz w:val="24"/>
          <w:szCs w:val="24"/>
        </w:rPr>
        <w:t>auf einen Blick erkennbar machen, welche Produkte am ehesten der Ge</w:t>
      </w:r>
      <w:r>
        <w:rPr>
          <w:rFonts w:ascii="Arial" w:hAnsi="Arial" w:cs="Arial"/>
          <w:sz w:val="24"/>
          <w:szCs w:val="24"/>
        </w:rPr>
        <w:t>sundheit förderlich sein können“, blickt Prof. Glaeske auf die Prävention von Krankheiten und betont: „Da sind Hinweise</w:t>
      </w:r>
      <w:r w:rsidR="00664560" w:rsidRPr="00664560">
        <w:rPr>
          <w:rFonts w:ascii="Arial" w:hAnsi="Arial" w:cs="Arial"/>
          <w:sz w:val="24"/>
          <w:szCs w:val="24"/>
        </w:rPr>
        <w:t xml:space="preserve"> bei der Auswahl von Nahrungs- und Lebensmitteln eine wichtige Hilfe. Denn seien wir ehrlich: die Nährwert- und Zutatenangaben auf den Verpackungen sind oft klein gedruckt, schwer verständlich und nicht für alle Menschen in ihrer Folge überschaubar.</w:t>
      </w:r>
      <w:r>
        <w:rPr>
          <w:rFonts w:ascii="Arial" w:hAnsi="Arial" w:cs="Arial"/>
          <w:sz w:val="24"/>
          <w:szCs w:val="24"/>
        </w:rPr>
        <w:t>“</w:t>
      </w:r>
      <w:r w:rsidR="00C75101">
        <w:rPr>
          <w:rFonts w:ascii="Arial" w:hAnsi="Arial" w:cs="Arial"/>
          <w:sz w:val="24"/>
          <w:szCs w:val="24"/>
        </w:rPr>
        <w:t xml:space="preserve"> Vor diesem Hintergrund brauche es klare Hinweise oder Verhaltensregeln</w:t>
      </w:r>
      <w:r w:rsidR="00E2299D">
        <w:rPr>
          <w:rFonts w:ascii="Arial" w:hAnsi="Arial" w:cs="Arial"/>
          <w:sz w:val="24"/>
          <w:szCs w:val="24"/>
        </w:rPr>
        <w:t>,</w:t>
      </w:r>
      <w:r w:rsidR="00C75101">
        <w:rPr>
          <w:rFonts w:ascii="Arial" w:hAnsi="Arial" w:cs="Arial"/>
          <w:sz w:val="24"/>
          <w:szCs w:val="24"/>
        </w:rPr>
        <w:t xml:space="preserve"> wie sie auch die Gesundheitsinitiative „Länger besser leben.“ der BKK24 </w:t>
      </w:r>
      <w:r w:rsidR="00E2299D">
        <w:rPr>
          <w:rFonts w:ascii="Arial" w:hAnsi="Arial" w:cs="Arial"/>
          <w:sz w:val="24"/>
          <w:szCs w:val="24"/>
        </w:rPr>
        <w:t>biete</w:t>
      </w:r>
      <w:r w:rsidR="00C75101">
        <w:rPr>
          <w:rFonts w:ascii="Arial" w:hAnsi="Arial" w:cs="Arial"/>
          <w:sz w:val="24"/>
          <w:szCs w:val="24"/>
        </w:rPr>
        <w:t>: Fünf Portionen Obst und Gemüse am Tag, 30 Minuten tägliche Bewegung, Verzicht auf das Rauchen, maßvoller Alkoholkonsum.</w:t>
      </w:r>
    </w:p>
    <w:p w14:paraId="7BB180C4" w14:textId="7237EDDD" w:rsidR="00A810BA" w:rsidRDefault="00A810BA" w:rsidP="00664560">
      <w:pPr>
        <w:spacing w:line="360" w:lineRule="auto"/>
        <w:ind w:right="3400"/>
        <w:jc w:val="both"/>
        <w:rPr>
          <w:rFonts w:ascii="Arial" w:hAnsi="Arial" w:cs="Arial"/>
          <w:sz w:val="24"/>
          <w:szCs w:val="24"/>
        </w:rPr>
      </w:pPr>
      <w:r>
        <w:rPr>
          <w:rFonts w:ascii="Arial" w:hAnsi="Arial" w:cs="Arial"/>
          <w:sz w:val="24"/>
          <w:szCs w:val="24"/>
        </w:rPr>
        <w:t>Auf die Frage, was</w:t>
      </w:r>
      <w:r w:rsidR="00C75101">
        <w:rPr>
          <w:rFonts w:ascii="Arial" w:hAnsi="Arial" w:cs="Arial"/>
          <w:sz w:val="24"/>
          <w:szCs w:val="24"/>
        </w:rPr>
        <w:t xml:space="preserve"> der Nutri-Score bewirken könne</w:t>
      </w:r>
      <w:r>
        <w:rPr>
          <w:rFonts w:ascii="Arial" w:hAnsi="Arial" w:cs="Arial"/>
          <w:sz w:val="24"/>
          <w:szCs w:val="24"/>
        </w:rPr>
        <w:t xml:space="preserve">, hat Prof. Glaeske eine klare </w:t>
      </w:r>
      <w:r w:rsidR="00C75101">
        <w:rPr>
          <w:rFonts w:ascii="Arial" w:hAnsi="Arial" w:cs="Arial"/>
          <w:sz w:val="24"/>
          <w:szCs w:val="24"/>
        </w:rPr>
        <w:t>Antwort</w:t>
      </w:r>
      <w:r>
        <w:rPr>
          <w:rFonts w:ascii="Arial" w:hAnsi="Arial" w:cs="Arial"/>
          <w:sz w:val="24"/>
          <w:szCs w:val="24"/>
        </w:rPr>
        <w:t xml:space="preserve">: </w:t>
      </w:r>
      <w:r w:rsidR="00C75101">
        <w:rPr>
          <w:rFonts w:ascii="Arial" w:hAnsi="Arial" w:cs="Arial"/>
          <w:sz w:val="24"/>
          <w:szCs w:val="24"/>
        </w:rPr>
        <w:t xml:space="preserve">„Der Anfang ist gemacht. Zwar ist der Nutri-Score aktuell eine freiwillige Kennzeichnung, doch mehr und mehr Menschen werden nach Produkten damit greifen, so dass die Lebensmittellandschaft vor Veränderungen steht. Insgesamt </w:t>
      </w:r>
      <w:r w:rsidR="00E2299D">
        <w:rPr>
          <w:rFonts w:ascii="Arial" w:hAnsi="Arial" w:cs="Arial"/>
          <w:sz w:val="24"/>
          <w:szCs w:val="24"/>
        </w:rPr>
        <w:t xml:space="preserve">aber schon jetzt </w:t>
      </w:r>
      <w:r w:rsidR="00C75101">
        <w:rPr>
          <w:rFonts w:ascii="Arial" w:hAnsi="Arial" w:cs="Arial"/>
          <w:sz w:val="24"/>
          <w:szCs w:val="24"/>
        </w:rPr>
        <w:t xml:space="preserve">ein Gewinn für die Prävention </w:t>
      </w:r>
      <w:r w:rsidR="00E2299D">
        <w:rPr>
          <w:rFonts w:ascii="Arial" w:hAnsi="Arial" w:cs="Arial"/>
          <w:sz w:val="24"/>
          <w:szCs w:val="24"/>
        </w:rPr>
        <w:t xml:space="preserve">und Gesundheitsförderung </w:t>
      </w:r>
      <w:r w:rsidR="00C75101">
        <w:rPr>
          <w:rFonts w:ascii="Arial" w:hAnsi="Arial" w:cs="Arial"/>
          <w:sz w:val="24"/>
          <w:szCs w:val="24"/>
        </w:rPr>
        <w:t xml:space="preserve">in Deutschland.“ </w:t>
      </w:r>
    </w:p>
    <w:p w14:paraId="2AF8FB0E" w14:textId="044C60D1" w:rsidR="00FB5C1F" w:rsidRPr="00335A10" w:rsidRDefault="00FB5C1F" w:rsidP="00537816">
      <w:pPr>
        <w:spacing w:line="360" w:lineRule="auto"/>
        <w:ind w:right="3400"/>
        <w:jc w:val="both"/>
        <w:rPr>
          <w:rFonts w:ascii="Arial" w:hAnsi="Arial" w:cs="Arial"/>
          <w:bCs/>
          <w:sz w:val="24"/>
          <w:szCs w:val="24"/>
        </w:rPr>
      </w:pPr>
      <w:r w:rsidRPr="00C76B7F">
        <w:rPr>
          <w:rFonts w:ascii="Arial" w:hAnsi="Arial" w:cs="Arial"/>
          <w:b/>
          <w:i/>
          <w:sz w:val="24"/>
          <w:szCs w:val="24"/>
        </w:rPr>
        <w:t>Kontakt</w:t>
      </w:r>
    </w:p>
    <w:p w14:paraId="2CC4187C" w14:textId="77777777" w:rsidR="00FB5C1F" w:rsidRDefault="00FB5C1F" w:rsidP="00362DE1">
      <w:pPr>
        <w:spacing w:after="0"/>
        <w:ind w:right="3402"/>
        <w:jc w:val="both"/>
        <w:rPr>
          <w:rFonts w:ascii="Arial" w:hAnsi="Arial" w:cs="Arial"/>
          <w:sz w:val="24"/>
          <w:szCs w:val="24"/>
        </w:rPr>
      </w:pPr>
      <w:r w:rsidRPr="00C76B7F">
        <w:rPr>
          <w:rFonts w:ascii="Arial" w:hAnsi="Arial" w:cs="Arial"/>
          <w:sz w:val="24"/>
          <w:szCs w:val="24"/>
        </w:rPr>
        <w:t>„</w:t>
      </w:r>
      <w:r>
        <w:rPr>
          <w:rFonts w:ascii="Arial" w:hAnsi="Arial" w:cs="Arial"/>
          <w:sz w:val="24"/>
          <w:szCs w:val="24"/>
        </w:rPr>
        <w:t xml:space="preserve">Länger besser leben.“-Institut </w:t>
      </w:r>
    </w:p>
    <w:p w14:paraId="79EC2310"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an der Universität Bremen</w:t>
      </w:r>
    </w:p>
    <w:p w14:paraId="730A0ABB"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Wissenschaftlicher Leiter Prof. Gerd Glaeske</w:t>
      </w:r>
    </w:p>
    <w:p w14:paraId="634A93C1"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E-Mail: glaeske@uni-bremen.de</w:t>
      </w:r>
    </w:p>
    <w:p w14:paraId="3F133BA3"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 xml:space="preserve">Telefon: 0421 218 58558  </w:t>
      </w:r>
    </w:p>
    <w:p w14:paraId="5FE3C4F7" w14:textId="77777777" w:rsidR="00481D69" w:rsidRDefault="00481D69" w:rsidP="00481D69">
      <w:pPr>
        <w:spacing w:after="0"/>
        <w:ind w:right="3402"/>
        <w:jc w:val="both"/>
        <w:rPr>
          <w:rFonts w:ascii="Arial" w:hAnsi="Arial" w:cs="Arial"/>
          <w:sz w:val="24"/>
          <w:szCs w:val="24"/>
        </w:rPr>
      </w:pPr>
      <w:r>
        <w:rPr>
          <w:rFonts w:ascii="Arial" w:hAnsi="Arial" w:cs="Arial"/>
          <w:sz w:val="24"/>
          <w:szCs w:val="24"/>
        </w:rPr>
        <w:t>www.socium.uni-bremen.de</w:t>
      </w:r>
    </w:p>
    <w:p w14:paraId="40080F06" w14:textId="77777777" w:rsidR="00FB5C1F" w:rsidRDefault="00FB5C1F" w:rsidP="00FB5C1F">
      <w:pPr>
        <w:ind w:right="3400"/>
        <w:jc w:val="both"/>
        <w:rPr>
          <w:rFonts w:ascii="Arial" w:hAnsi="Arial" w:cs="Arial"/>
          <w:sz w:val="24"/>
          <w:szCs w:val="24"/>
        </w:rPr>
      </w:pPr>
      <w:r w:rsidRPr="00C76B7F">
        <w:rPr>
          <w:rFonts w:ascii="Arial" w:hAnsi="Arial" w:cs="Arial"/>
          <w:sz w:val="24"/>
          <w:szCs w:val="24"/>
        </w:rPr>
        <w:t>www.bkk24.de/lbl-institut</w:t>
      </w:r>
    </w:p>
    <w:p w14:paraId="0328C2A2" w14:textId="77777777" w:rsidR="004175E9" w:rsidRDefault="004175E9" w:rsidP="00FB5C1F">
      <w:pPr>
        <w:ind w:right="3400"/>
        <w:jc w:val="both"/>
        <w:rPr>
          <w:rFonts w:ascii="Arial" w:hAnsi="Arial" w:cs="Arial"/>
          <w:sz w:val="24"/>
          <w:szCs w:val="24"/>
        </w:rPr>
      </w:pPr>
    </w:p>
    <w:p w14:paraId="1A79380F" w14:textId="77777777" w:rsidR="004175E9" w:rsidRPr="004175E9" w:rsidRDefault="004175E9" w:rsidP="004175E9">
      <w:pPr>
        <w:spacing w:line="360" w:lineRule="auto"/>
        <w:ind w:right="2833"/>
        <w:rPr>
          <w:rFonts w:ascii="Arial" w:hAnsi="Arial" w:cs="Arial"/>
          <w:sz w:val="18"/>
          <w:szCs w:val="18"/>
        </w:rPr>
      </w:pPr>
      <w:r w:rsidRPr="004175E9">
        <w:rPr>
          <w:rFonts w:ascii="Arial" w:hAnsi="Arial" w:cs="Arial"/>
          <w:b/>
          <w:sz w:val="18"/>
          <w:szCs w:val="18"/>
        </w:rPr>
        <w:t>Über die BKK24</w:t>
      </w:r>
    </w:p>
    <w:p w14:paraId="37686081" w14:textId="3AD3A63B" w:rsidR="004175E9" w:rsidRPr="004175E9" w:rsidRDefault="004175E9" w:rsidP="004175E9">
      <w:pPr>
        <w:spacing w:line="360" w:lineRule="auto"/>
        <w:ind w:right="2833"/>
        <w:jc w:val="both"/>
        <w:rPr>
          <w:rFonts w:ascii="Arial" w:hAnsi="Arial" w:cs="Arial"/>
          <w:sz w:val="18"/>
          <w:szCs w:val="18"/>
        </w:rPr>
      </w:pPr>
      <w:r w:rsidRPr="004175E9">
        <w:rPr>
          <w:rFonts w:ascii="Arial" w:hAnsi="Arial" w:cs="Arial"/>
          <w:sz w:val="18"/>
          <w:szCs w:val="18"/>
        </w:rPr>
        <w:t xml:space="preserve">Die BKK24 ist eine gesetzliche Krankenkasse mit über 130.000 Versicherten. Mit der bundesweit einmaligen Gesundheitsinitiative „Länger besser leben.“ engagiert sich die BKK24 für Prävention und Gesundheitsförderung. Vor diesem Hintergrund werden gemeinsam mit </w:t>
      </w:r>
      <w:r w:rsidR="008908D9">
        <w:rPr>
          <w:rFonts w:ascii="Arial" w:hAnsi="Arial" w:cs="Arial"/>
          <w:sz w:val="18"/>
          <w:szCs w:val="18"/>
        </w:rPr>
        <w:t>rund</w:t>
      </w:r>
      <w:r w:rsidRPr="004175E9">
        <w:rPr>
          <w:rFonts w:ascii="Arial" w:hAnsi="Arial" w:cs="Arial"/>
          <w:sz w:val="18"/>
          <w:szCs w:val="18"/>
        </w:rPr>
        <w:t xml:space="preserve"> </w:t>
      </w:r>
      <w:r>
        <w:rPr>
          <w:rFonts w:ascii="Arial" w:hAnsi="Arial" w:cs="Arial"/>
          <w:sz w:val="18"/>
          <w:szCs w:val="18"/>
        </w:rPr>
        <w:t>300</w:t>
      </w:r>
      <w:r w:rsidRPr="004175E9">
        <w:rPr>
          <w:rFonts w:ascii="Arial" w:hAnsi="Arial" w:cs="Arial"/>
          <w:sz w:val="18"/>
          <w:szCs w:val="18"/>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w:t>
      </w:r>
      <w:r w:rsidR="00CE30FB">
        <w:rPr>
          <w:rFonts w:ascii="Arial" w:hAnsi="Arial" w:cs="Arial"/>
          <w:sz w:val="18"/>
          <w:szCs w:val="18"/>
        </w:rPr>
        <w:t>über</w:t>
      </w:r>
      <w:r w:rsidRPr="004175E9">
        <w:rPr>
          <w:rFonts w:ascii="Arial" w:hAnsi="Arial" w:cs="Arial"/>
          <w:sz w:val="18"/>
          <w:szCs w:val="18"/>
        </w:rPr>
        <w:t xml:space="preserve"> </w:t>
      </w:r>
      <w:r w:rsidR="00CE30FB">
        <w:rPr>
          <w:rFonts w:ascii="Arial" w:hAnsi="Arial" w:cs="Arial"/>
          <w:sz w:val="18"/>
          <w:szCs w:val="18"/>
        </w:rPr>
        <w:t>90</w:t>
      </w:r>
      <w:r w:rsidRPr="004175E9">
        <w:rPr>
          <w:rFonts w:ascii="Arial" w:hAnsi="Arial" w:cs="Arial"/>
          <w:sz w:val="18"/>
          <w:szCs w:val="18"/>
        </w:rPr>
        <w:t xml:space="preserve"> Extraleistungen, die </w:t>
      </w:r>
      <w:r w:rsidRPr="004175E9">
        <w:rPr>
          <w:rFonts w:ascii="Arial" w:hAnsi="Arial" w:cs="Arial"/>
          <w:sz w:val="18"/>
          <w:szCs w:val="18"/>
        </w:rPr>
        <w:lastRenderedPageBreak/>
        <w:t>oberhalb des gesetzlichen Leistungskataloges liegen. So gibt es beispielsweise hohe Zuschüsse für Präventionskurse, sportmedizinische Untersuchungen, alternative Heilmethoden</w:t>
      </w:r>
      <w:r>
        <w:rPr>
          <w:rFonts w:ascii="Arial" w:hAnsi="Arial" w:cs="Arial"/>
          <w:sz w:val="18"/>
          <w:szCs w:val="18"/>
        </w:rPr>
        <w:t xml:space="preserve"> und professionelle Zahnreinigung</w:t>
      </w:r>
      <w:r w:rsidRPr="004175E9">
        <w:rPr>
          <w:rFonts w:ascii="Arial" w:hAnsi="Arial" w:cs="Arial"/>
          <w:sz w:val="18"/>
          <w:szCs w:val="18"/>
        </w:rPr>
        <w:t xml:space="preserve"> – außerdem den jährlichen „Länger besser leben.“-Bonus in Höhe von 100 Euro.</w:t>
      </w:r>
    </w:p>
    <w:p w14:paraId="4E5B1AB1" w14:textId="77777777" w:rsidR="004175E9" w:rsidRPr="00B80AEA" w:rsidRDefault="004175E9" w:rsidP="00FB5C1F">
      <w:pPr>
        <w:ind w:right="3400"/>
        <w:jc w:val="both"/>
        <w:rPr>
          <w:rFonts w:ascii="Arial" w:hAnsi="Arial" w:cs="Arial"/>
          <w:sz w:val="24"/>
          <w:szCs w:val="24"/>
        </w:rPr>
      </w:pPr>
    </w:p>
    <w:sectPr w:rsidR="004175E9"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007F"/>
    <w:rsid w:val="00007578"/>
    <w:rsid w:val="00010E49"/>
    <w:rsid w:val="00017039"/>
    <w:rsid w:val="000206AB"/>
    <w:rsid w:val="0003353A"/>
    <w:rsid w:val="00044682"/>
    <w:rsid w:val="00055759"/>
    <w:rsid w:val="000760BD"/>
    <w:rsid w:val="00077821"/>
    <w:rsid w:val="00081E38"/>
    <w:rsid w:val="00083EFC"/>
    <w:rsid w:val="00086FC5"/>
    <w:rsid w:val="000A101C"/>
    <w:rsid w:val="000A7742"/>
    <w:rsid w:val="000B081C"/>
    <w:rsid w:val="000B0E8C"/>
    <w:rsid w:val="000B1A6F"/>
    <w:rsid w:val="000D26AE"/>
    <w:rsid w:val="00111590"/>
    <w:rsid w:val="00116451"/>
    <w:rsid w:val="00120985"/>
    <w:rsid w:val="0012546B"/>
    <w:rsid w:val="001301C5"/>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D1C6F"/>
    <w:rsid w:val="001D6002"/>
    <w:rsid w:val="001F7662"/>
    <w:rsid w:val="00202EFA"/>
    <w:rsid w:val="00207797"/>
    <w:rsid w:val="002105F3"/>
    <w:rsid w:val="0022743E"/>
    <w:rsid w:val="00236717"/>
    <w:rsid w:val="0025047C"/>
    <w:rsid w:val="00266234"/>
    <w:rsid w:val="002672E1"/>
    <w:rsid w:val="00267418"/>
    <w:rsid w:val="00284363"/>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45E24"/>
    <w:rsid w:val="00357661"/>
    <w:rsid w:val="00361BFA"/>
    <w:rsid w:val="00362DE1"/>
    <w:rsid w:val="00370274"/>
    <w:rsid w:val="00392CD0"/>
    <w:rsid w:val="003B270A"/>
    <w:rsid w:val="003B39AB"/>
    <w:rsid w:val="003B5F1F"/>
    <w:rsid w:val="003B6FB4"/>
    <w:rsid w:val="003C3257"/>
    <w:rsid w:val="003C56BC"/>
    <w:rsid w:val="003C58B1"/>
    <w:rsid w:val="00403F5E"/>
    <w:rsid w:val="0041283C"/>
    <w:rsid w:val="004169A5"/>
    <w:rsid w:val="004175E9"/>
    <w:rsid w:val="00421F59"/>
    <w:rsid w:val="00427FD8"/>
    <w:rsid w:val="00435AB0"/>
    <w:rsid w:val="00436DED"/>
    <w:rsid w:val="004432DE"/>
    <w:rsid w:val="00443555"/>
    <w:rsid w:val="004443F2"/>
    <w:rsid w:val="00447125"/>
    <w:rsid w:val="004479C9"/>
    <w:rsid w:val="00460330"/>
    <w:rsid w:val="00460A9E"/>
    <w:rsid w:val="00463E70"/>
    <w:rsid w:val="0047204C"/>
    <w:rsid w:val="0047767A"/>
    <w:rsid w:val="00481D69"/>
    <w:rsid w:val="004917B6"/>
    <w:rsid w:val="004951BC"/>
    <w:rsid w:val="004C18DA"/>
    <w:rsid w:val="004C1F9D"/>
    <w:rsid w:val="004C3449"/>
    <w:rsid w:val="004C3E34"/>
    <w:rsid w:val="004C6AEA"/>
    <w:rsid w:val="004D0347"/>
    <w:rsid w:val="004D0EB9"/>
    <w:rsid w:val="004E1B53"/>
    <w:rsid w:val="00510D20"/>
    <w:rsid w:val="0052058D"/>
    <w:rsid w:val="005236B0"/>
    <w:rsid w:val="00527747"/>
    <w:rsid w:val="00527AF2"/>
    <w:rsid w:val="00537816"/>
    <w:rsid w:val="00541E91"/>
    <w:rsid w:val="005464A1"/>
    <w:rsid w:val="005510B7"/>
    <w:rsid w:val="005568A5"/>
    <w:rsid w:val="005626D8"/>
    <w:rsid w:val="00566EE9"/>
    <w:rsid w:val="00586108"/>
    <w:rsid w:val="0058732F"/>
    <w:rsid w:val="00597AE9"/>
    <w:rsid w:val="005B04F1"/>
    <w:rsid w:val="005B3EAB"/>
    <w:rsid w:val="005D201D"/>
    <w:rsid w:val="005D499F"/>
    <w:rsid w:val="005D6016"/>
    <w:rsid w:val="005D6A5F"/>
    <w:rsid w:val="005E2FBB"/>
    <w:rsid w:val="005E76A7"/>
    <w:rsid w:val="005F6D73"/>
    <w:rsid w:val="00611606"/>
    <w:rsid w:val="006147C2"/>
    <w:rsid w:val="00617D17"/>
    <w:rsid w:val="006230AB"/>
    <w:rsid w:val="00626BCC"/>
    <w:rsid w:val="00632D8B"/>
    <w:rsid w:val="0063428B"/>
    <w:rsid w:val="0063465B"/>
    <w:rsid w:val="00656911"/>
    <w:rsid w:val="00662783"/>
    <w:rsid w:val="00664560"/>
    <w:rsid w:val="006700AF"/>
    <w:rsid w:val="006718DD"/>
    <w:rsid w:val="00680660"/>
    <w:rsid w:val="00684BCC"/>
    <w:rsid w:val="006863AF"/>
    <w:rsid w:val="00686CF1"/>
    <w:rsid w:val="0068743B"/>
    <w:rsid w:val="00695556"/>
    <w:rsid w:val="006A12E7"/>
    <w:rsid w:val="006A4595"/>
    <w:rsid w:val="006A74E6"/>
    <w:rsid w:val="006B08BF"/>
    <w:rsid w:val="006B3950"/>
    <w:rsid w:val="006B7B5C"/>
    <w:rsid w:val="006C1986"/>
    <w:rsid w:val="006D1002"/>
    <w:rsid w:val="006E0B7F"/>
    <w:rsid w:val="006E38C9"/>
    <w:rsid w:val="006E6FC6"/>
    <w:rsid w:val="006E73F2"/>
    <w:rsid w:val="006F49FC"/>
    <w:rsid w:val="006F4B8F"/>
    <w:rsid w:val="00710CC5"/>
    <w:rsid w:val="007123DD"/>
    <w:rsid w:val="00714780"/>
    <w:rsid w:val="00715FAB"/>
    <w:rsid w:val="00721927"/>
    <w:rsid w:val="0072279A"/>
    <w:rsid w:val="0072296F"/>
    <w:rsid w:val="00726923"/>
    <w:rsid w:val="00726CBA"/>
    <w:rsid w:val="007426A1"/>
    <w:rsid w:val="00745F82"/>
    <w:rsid w:val="00792BB0"/>
    <w:rsid w:val="007C05E4"/>
    <w:rsid w:val="007F257D"/>
    <w:rsid w:val="007F5D32"/>
    <w:rsid w:val="00807D70"/>
    <w:rsid w:val="00812026"/>
    <w:rsid w:val="0082071C"/>
    <w:rsid w:val="008277DF"/>
    <w:rsid w:val="008353E2"/>
    <w:rsid w:val="00841AC9"/>
    <w:rsid w:val="0088285F"/>
    <w:rsid w:val="00883CD3"/>
    <w:rsid w:val="008908D9"/>
    <w:rsid w:val="008B1D2E"/>
    <w:rsid w:val="008C567E"/>
    <w:rsid w:val="008D21BF"/>
    <w:rsid w:val="008D4663"/>
    <w:rsid w:val="008E3FC4"/>
    <w:rsid w:val="008E6F5C"/>
    <w:rsid w:val="008F1E66"/>
    <w:rsid w:val="00902CE4"/>
    <w:rsid w:val="0090389A"/>
    <w:rsid w:val="009039FD"/>
    <w:rsid w:val="00907986"/>
    <w:rsid w:val="00911BF3"/>
    <w:rsid w:val="0092134D"/>
    <w:rsid w:val="00925AF0"/>
    <w:rsid w:val="009270BF"/>
    <w:rsid w:val="00937446"/>
    <w:rsid w:val="00945564"/>
    <w:rsid w:val="0095238D"/>
    <w:rsid w:val="00952548"/>
    <w:rsid w:val="009531A9"/>
    <w:rsid w:val="009731A4"/>
    <w:rsid w:val="0097353B"/>
    <w:rsid w:val="00983E18"/>
    <w:rsid w:val="00991358"/>
    <w:rsid w:val="0099529E"/>
    <w:rsid w:val="009A16F4"/>
    <w:rsid w:val="009B58A4"/>
    <w:rsid w:val="009E7AB0"/>
    <w:rsid w:val="00A00A95"/>
    <w:rsid w:val="00A04BE2"/>
    <w:rsid w:val="00A105FD"/>
    <w:rsid w:val="00A206FA"/>
    <w:rsid w:val="00A31947"/>
    <w:rsid w:val="00A36804"/>
    <w:rsid w:val="00A50AB2"/>
    <w:rsid w:val="00A51F50"/>
    <w:rsid w:val="00A61F0B"/>
    <w:rsid w:val="00A72D2B"/>
    <w:rsid w:val="00A810BA"/>
    <w:rsid w:val="00A82610"/>
    <w:rsid w:val="00A83FB7"/>
    <w:rsid w:val="00A96F9D"/>
    <w:rsid w:val="00AB4144"/>
    <w:rsid w:val="00AC1DBE"/>
    <w:rsid w:val="00AC2295"/>
    <w:rsid w:val="00AC4D4A"/>
    <w:rsid w:val="00AC52CF"/>
    <w:rsid w:val="00AF19A9"/>
    <w:rsid w:val="00AF361A"/>
    <w:rsid w:val="00AF37A0"/>
    <w:rsid w:val="00AF7001"/>
    <w:rsid w:val="00B0033D"/>
    <w:rsid w:val="00B1753A"/>
    <w:rsid w:val="00B25144"/>
    <w:rsid w:val="00B327F2"/>
    <w:rsid w:val="00B52EF7"/>
    <w:rsid w:val="00B55B1E"/>
    <w:rsid w:val="00B61846"/>
    <w:rsid w:val="00B66486"/>
    <w:rsid w:val="00B745A9"/>
    <w:rsid w:val="00B80AEA"/>
    <w:rsid w:val="00B80BE3"/>
    <w:rsid w:val="00B8259F"/>
    <w:rsid w:val="00B863DA"/>
    <w:rsid w:val="00B91068"/>
    <w:rsid w:val="00B949D2"/>
    <w:rsid w:val="00B9513A"/>
    <w:rsid w:val="00B954F0"/>
    <w:rsid w:val="00B974D6"/>
    <w:rsid w:val="00BA1F99"/>
    <w:rsid w:val="00BA4E33"/>
    <w:rsid w:val="00BB268B"/>
    <w:rsid w:val="00BC1D85"/>
    <w:rsid w:val="00BC58B4"/>
    <w:rsid w:val="00BE411A"/>
    <w:rsid w:val="00C05690"/>
    <w:rsid w:val="00C20B67"/>
    <w:rsid w:val="00C24D8C"/>
    <w:rsid w:val="00C24E8B"/>
    <w:rsid w:val="00C35DB5"/>
    <w:rsid w:val="00C40F83"/>
    <w:rsid w:val="00C438FC"/>
    <w:rsid w:val="00C50408"/>
    <w:rsid w:val="00C75101"/>
    <w:rsid w:val="00C86C6E"/>
    <w:rsid w:val="00C90F5B"/>
    <w:rsid w:val="00C96D43"/>
    <w:rsid w:val="00C979FB"/>
    <w:rsid w:val="00CB0DAC"/>
    <w:rsid w:val="00CB4A65"/>
    <w:rsid w:val="00CB62CC"/>
    <w:rsid w:val="00CB71E9"/>
    <w:rsid w:val="00CC4FEB"/>
    <w:rsid w:val="00CD0CBC"/>
    <w:rsid w:val="00CD5998"/>
    <w:rsid w:val="00CE30FB"/>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A2154"/>
    <w:rsid w:val="00DB0084"/>
    <w:rsid w:val="00DB4232"/>
    <w:rsid w:val="00DC0143"/>
    <w:rsid w:val="00DF40B4"/>
    <w:rsid w:val="00DF6D12"/>
    <w:rsid w:val="00E07646"/>
    <w:rsid w:val="00E2299D"/>
    <w:rsid w:val="00E255A5"/>
    <w:rsid w:val="00E27A76"/>
    <w:rsid w:val="00E31EA0"/>
    <w:rsid w:val="00E321BB"/>
    <w:rsid w:val="00E337F2"/>
    <w:rsid w:val="00E33CAA"/>
    <w:rsid w:val="00E460F8"/>
    <w:rsid w:val="00E517FD"/>
    <w:rsid w:val="00E535F8"/>
    <w:rsid w:val="00E72CB2"/>
    <w:rsid w:val="00E8063C"/>
    <w:rsid w:val="00E836BF"/>
    <w:rsid w:val="00E85227"/>
    <w:rsid w:val="00E93DB1"/>
    <w:rsid w:val="00E965F5"/>
    <w:rsid w:val="00E9672D"/>
    <w:rsid w:val="00EB3E0F"/>
    <w:rsid w:val="00EB4F0A"/>
    <w:rsid w:val="00EC7266"/>
    <w:rsid w:val="00F158B5"/>
    <w:rsid w:val="00F3780F"/>
    <w:rsid w:val="00F43535"/>
    <w:rsid w:val="00F53669"/>
    <w:rsid w:val="00F54F4A"/>
    <w:rsid w:val="00F619B8"/>
    <w:rsid w:val="00F61C82"/>
    <w:rsid w:val="00F63F49"/>
    <w:rsid w:val="00F736B4"/>
    <w:rsid w:val="00F7631F"/>
    <w:rsid w:val="00F82898"/>
    <w:rsid w:val="00F83853"/>
    <w:rsid w:val="00F92E86"/>
    <w:rsid w:val="00F93D31"/>
    <w:rsid w:val="00FB1530"/>
    <w:rsid w:val="00FB37CD"/>
    <w:rsid w:val="00FB5C1F"/>
    <w:rsid w:val="00FC7050"/>
    <w:rsid w:val="00FC782C"/>
    <w:rsid w:val="00FD13FD"/>
    <w:rsid w:val="00FD1DDF"/>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85BCEB28-80F1-47A0-9476-0925105D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241213163">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41B9-84E1-4928-B241-204514F2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Nielaczny, Jörg - BKK24</cp:lastModifiedBy>
  <cp:revision>3</cp:revision>
  <cp:lastPrinted>2020-07-27T14:10:00Z</cp:lastPrinted>
  <dcterms:created xsi:type="dcterms:W3CDTF">2020-11-12T14:35:00Z</dcterms:created>
  <dcterms:modified xsi:type="dcterms:W3CDTF">2020-11-12T17:15:00Z</dcterms:modified>
</cp:coreProperties>
</file>