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D2" w:rsidRPr="00073E8F" w:rsidRDefault="00E166D2" w:rsidP="007E6A59">
      <w:pPr>
        <w:tabs>
          <w:tab w:val="left" w:pos="6096"/>
        </w:tabs>
        <w:ind w:right="-1"/>
        <w:rPr>
          <w:rFonts w:ascii="Arial" w:hAnsi="Arial" w:cs="Arial"/>
          <w:i/>
        </w:rPr>
      </w:pPr>
      <w:r w:rsidRPr="00073E8F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4194ED5" wp14:editId="59F1F933">
            <wp:simplePos x="0" y="0"/>
            <wp:positionH relativeFrom="column">
              <wp:posOffset>12700</wp:posOffset>
            </wp:positionH>
            <wp:positionV relativeFrom="paragraph">
              <wp:posOffset>15545</wp:posOffset>
            </wp:positionV>
            <wp:extent cx="2428240" cy="44196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k24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6D2" w:rsidRPr="00073E8F" w:rsidRDefault="00E166D2" w:rsidP="007E6A59">
      <w:pPr>
        <w:tabs>
          <w:tab w:val="left" w:pos="6096"/>
        </w:tabs>
        <w:ind w:right="-1"/>
        <w:rPr>
          <w:rFonts w:ascii="Arial" w:hAnsi="Arial" w:cs="Arial"/>
          <w:i/>
        </w:rPr>
      </w:pPr>
    </w:p>
    <w:p w:rsidR="007E6A59" w:rsidRPr="00073E8F" w:rsidRDefault="00C57202" w:rsidP="00245536">
      <w:pPr>
        <w:tabs>
          <w:tab w:val="left" w:pos="6096"/>
        </w:tabs>
        <w:spacing w:after="120"/>
        <w:ind w:right="368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F4FFB">
        <w:rPr>
          <w:rFonts w:ascii="Arial" w:hAnsi="Arial" w:cs="Arial"/>
          <w:b/>
        </w:rPr>
        <w:t>„Länger besser leben.“</w:t>
      </w:r>
      <w:r w:rsidR="000A2760">
        <w:rPr>
          <w:rFonts w:ascii="Arial" w:hAnsi="Arial" w:cs="Arial"/>
          <w:b/>
        </w:rPr>
        <w:t xml:space="preserve"> </w:t>
      </w:r>
      <w:r w:rsidR="00110602">
        <w:rPr>
          <w:rFonts w:ascii="Arial" w:hAnsi="Arial" w:cs="Arial"/>
          <w:b/>
        </w:rPr>
        <w:t>in</w:t>
      </w:r>
      <w:r w:rsidR="005A3755">
        <w:rPr>
          <w:rFonts w:ascii="Arial" w:hAnsi="Arial" w:cs="Arial"/>
          <w:b/>
        </w:rPr>
        <w:t xml:space="preserve"> Schaumburg</w:t>
      </w:r>
    </w:p>
    <w:p w:rsidR="00E166D2" w:rsidRPr="00073E8F" w:rsidRDefault="00BF0E81" w:rsidP="00277551">
      <w:pPr>
        <w:tabs>
          <w:tab w:val="left" w:pos="6096"/>
        </w:tabs>
        <w:spacing w:before="240" w:line="360" w:lineRule="auto"/>
        <w:ind w:right="36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Deutschlandweit einmalige Gesundheitsinitiative der </w:t>
      </w:r>
      <w:r w:rsidR="000A2760">
        <w:rPr>
          <w:rFonts w:ascii="Arial" w:hAnsi="Arial" w:cs="Arial"/>
          <w:b/>
        </w:rPr>
        <w:t xml:space="preserve">Krankenkasse BKK24 </w:t>
      </w:r>
      <w:r>
        <w:rPr>
          <w:rFonts w:ascii="Arial" w:hAnsi="Arial" w:cs="Arial"/>
          <w:b/>
        </w:rPr>
        <w:t>/</w:t>
      </w:r>
      <w:r w:rsidR="00C57202">
        <w:rPr>
          <w:rFonts w:ascii="Arial" w:hAnsi="Arial" w:cs="Arial"/>
          <w:b/>
        </w:rPr>
        <w:t xml:space="preserve"> „Partner für regionale Angebote“</w:t>
      </w:r>
      <w:r>
        <w:rPr>
          <w:rFonts w:ascii="Arial" w:hAnsi="Arial" w:cs="Arial"/>
          <w:b/>
        </w:rPr>
        <w:t xml:space="preserve"> </w:t>
      </w:r>
      <w:r w:rsidR="00C57202">
        <w:rPr>
          <w:rFonts w:ascii="Arial" w:hAnsi="Arial" w:cs="Arial"/>
          <w:b/>
        </w:rPr>
        <w:t xml:space="preserve">/ Frühjahrskur startet in Kürze </w:t>
      </w:r>
    </w:p>
    <w:p w:rsidR="005A3755" w:rsidRPr="001F436E" w:rsidRDefault="001F436E" w:rsidP="00277551">
      <w:pPr>
        <w:spacing w:line="360" w:lineRule="auto"/>
        <w:ind w:right="3684"/>
        <w:jc w:val="both"/>
        <w:rPr>
          <w:rFonts w:ascii="Arial" w:hAnsi="Arial" w:cs="Arial"/>
        </w:rPr>
      </w:pPr>
      <w:r w:rsidRPr="001F436E">
        <w:rPr>
          <w:rFonts w:ascii="Arial" w:hAnsi="Arial" w:cs="Arial"/>
        </w:rPr>
        <w:t>D</w:t>
      </w:r>
      <w:r w:rsidR="00277551" w:rsidRPr="001F436E">
        <w:rPr>
          <w:rFonts w:ascii="Arial" w:hAnsi="Arial" w:cs="Arial"/>
        </w:rPr>
        <w:t xml:space="preserve">ie Botschaft von </w:t>
      </w:r>
      <w:r w:rsidR="005A3755" w:rsidRPr="001F436E">
        <w:rPr>
          <w:rFonts w:ascii="Arial" w:hAnsi="Arial" w:cs="Arial"/>
        </w:rPr>
        <w:t>Vahdet Soysal</w:t>
      </w:r>
      <w:r w:rsidRPr="001F436E">
        <w:rPr>
          <w:rFonts w:ascii="Arial" w:hAnsi="Arial" w:cs="Arial"/>
        </w:rPr>
        <w:t xml:space="preserve"> ist eindeutig</w:t>
      </w:r>
      <w:r w:rsidR="003B1DF3" w:rsidRPr="001F436E">
        <w:rPr>
          <w:rFonts w:ascii="Arial" w:hAnsi="Arial" w:cs="Arial"/>
        </w:rPr>
        <w:t>.</w:t>
      </w:r>
      <w:r w:rsidRPr="001F436E">
        <w:rPr>
          <w:rFonts w:ascii="Arial" w:hAnsi="Arial" w:cs="Arial"/>
        </w:rPr>
        <w:t xml:space="preserve"> Der </w:t>
      </w:r>
      <w:r w:rsidRPr="001F436E">
        <w:rPr>
          <w:rFonts w:ascii="Arial" w:hAnsi="Arial" w:cs="Arial"/>
        </w:rPr>
        <w:t xml:space="preserve">„Länger besser leben.“-Regionalleiter </w:t>
      </w:r>
      <w:r w:rsidRPr="001F436E">
        <w:rPr>
          <w:rFonts w:ascii="Arial" w:hAnsi="Arial" w:cs="Arial"/>
        </w:rPr>
        <w:t>für</w:t>
      </w:r>
      <w:r w:rsidRPr="001F436E">
        <w:rPr>
          <w:rFonts w:ascii="Arial" w:hAnsi="Arial" w:cs="Arial"/>
        </w:rPr>
        <w:t xml:space="preserve"> </w:t>
      </w:r>
      <w:r w:rsidRPr="001F436E">
        <w:rPr>
          <w:rFonts w:ascii="Arial" w:hAnsi="Arial" w:cs="Arial"/>
        </w:rPr>
        <w:t xml:space="preserve">Schaumburg ist Mitarbeiter bei der </w:t>
      </w:r>
      <w:r w:rsidRPr="001F436E">
        <w:rPr>
          <w:rFonts w:ascii="Arial" w:hAnsi="Arial" w:cs="Arial"/>
        </w:rPr>
        <w:t>in Obernkirchen ansässigen Krankenkasse BKK24</w:t>
      </w:r>
      <w:r w:rsidRPr="001F436E">
        <w:rPr>
          <w:rFonts w:ascii="Arial" w:hAnsi="Arial" w:cs="Arial"/>
        </w:rPr>
        <w:t xml:space="preserve"> und verbindet mit der Gesundheitsinitiative</w:t>
      </w:r>
      <w:r w:rsidR="0076028C">
        <w:rPr>
          <w:rFonts w:ascii="Arial" w:hAnsi="Arial" w:cs="Arial"/>
        </w:rPr>
        <w:t xml:space="preserve"> „Länger besser leben.“</w:t>
      </w:r>
      <w:r w:rsidRPr="001F436E">
        <w:rPr>
          <w:rFonts w:ascii="Arial" w:hAnsi="Arial" w:cs="Arial"/>
        </w:rPr>
        <w:t xml:space="preserve"> </w:t>
      </w:r>
      <w:r w:rsidR="003B1DF3" w:rsidRPr="001F436E">
        <w:rPr>
          <w:rFonts w:ascii="Arial" w:hAnsi="Arial" w:cs="Arial"/>
        </w:rPr>
        <w:t>konkrete Ziele</w:t>
      </w:r>
      <w:r w:rsidR="00277551" w:rsidRPr="001F436E">
        <w:rPr>
          <w:rFonts w:ascii="Arial" w:hAnsi="Arial" w:cs="Arial"/>
        </w:rPr>
        <w:t>: „Wir möchten die Gesundheit und das Wohlbefinden de</w:t>
      </w:r>
      <w:bookmarkStart w:id="0" w:name="_GoBack"/>
      <w:bookmarkEnd w:id="0"/>
      <w:r w:rsidR="00277551" w:rsidRPr="001F436E">
        <w:rPr>
          <w:rFonts w:ascii="Arial" w:hAnsi="Arial" w:cs="Arial"/>
        </w:rPr>
        <w:t xml:space="preserve">r Menschen in </w:t>
      </w:r>
      <w:r w:rsidR="005A3755" w:rsidRPr="001F436E">
        <w:rPr>
          <w:rFonts w:ascii="Arial" w:hAnsi="Arial" w:cs="Arial"/>
        </w:rPr>
        <w:t>Schaumburg</w:t>
      </w:r>
      <w:r w:rsidR="00277551" w:rsidRPr="001F436E">
        <w:rPr>
          <w:rFonts w:ascii="Arial" w:hAnsi="Arial" w:cs="Arial"/>
        </w:rPr>
        <w:t xml:space="preserve"> </w:t>
      </w:r>
      <w:r w:rsidR="005A3755" w:rsidRPr="001F436E">
        <w:rPr>
          <w:rFonts w:ascii="Arial" w:hAnsi="Arial" w:cs="Arial"/>
        </w:rPr>
        <w:t>nachhaltig verbessern. Wir verstehen uns dabei als Gesundheitspartner für maßgeschneiderte Angebote in der Region.“</w:t>
      </w:r>
    </w:p>
    <w:p w:rsidR="00110602" w:rsidRDefault="00E625C1" w:rsidP="00277551">
      <w:pPr>
        <w:spacing w:line="360" w:lineRule="auto"/>
        <w:ind w:right="3684"/>
        <w:jc w:val="both"/>
        <w:rPr>
          <w:rFonts w:ascii="Arial" w:hAnsi="Arial" w:cs="Arial"/>
        </w:rPr>
      </w:pPr>
      <w:r w:rsidRPr="00073E8F">
        <w:rPr>
          <w:rFonts w:ascii="Arial" w:hAnsi="Arial" w:cs="Arial"/>
        </w:rPr>
        <w:t xml:space="preserve">Dass </w:t>
      </w:r>
      <w:r w:rsidR="00062503" w:rsidRPr="00073E8F">
        <w:rPr>
          <w:rFonts w:ascii="Arial" w:hAnsi="Arial" w:cs="Arial"/>
        </w:rPr>
        <w:t>die deutschlandweit einmalige Gesundheitsinitiative „Länger besser leben.“ dazu beitragen kann, belegt ein mit der Universität Bielefeld erarbeiteter Bericht. „Die</w:t>
      </w:r>
      <w:r w:rsidR="007560DE" w:rsidRPr="00073E8F">
        <w:rPr>
          <w:rFonts w:ascii="Arial" w:hAnsi="Arial" w:cs="Arial"/>
        </w:rPr>
        <w:t>ser</w:t>
      </w:r>
      <w:r w:rsidR="00062503" w:rsidRPr="00073E8F">
        <w:rPr>
          <w:rFonts w:ascii="Arial" w:hAnsi="Arial" w:cs="Arial"/>
        </w:rPr>
        <w:t xml:space="preserve"> </w:t>
      </w:r>
      <w:r w:rsidR="007560DE" w:rsidRPr="00073E8F">
        <w:rPr>
          <w:rFonts w:ascii="Arial" w:hAnsi="Arial" w:cs="Arial"/>
        </w:rPr>
        <w:t>liefert einen wissenschaftlich</w:t>
      </w:r>
      <w:r w:rsidR="00062503" w:rsidRPr="00073E8F">
        <w:rPr>
          <w:rFonts w:ascii="Arial" w:hAnsi="Arial" w:cs="Arial"/>
        </w:rPr>
        <w:t xml:space="preserve"> fundierten Nachweis und </w:t>
      </w:r>
      <w:r w:rsidR="007560DE" w:rsidRPr="00073E8F">
        <w:rPr>
          <w:rFonts w:ascii="Arial" w:hAnsi="Arial" w:cs="Arial"/>
        </w:rPr>
        <w:t xml:space="preserve">die Ergebnisse sind ausgesprochen erfreulich“, </w:t>
      </w:r>
      <w:r w:rsidR="007A256A" w:rsidRPr="00073E8F">
        <w:rPr>
          <w:rFonts w:ascii="Arial" w:hAnsi="Arial" w:cs="Arial"/>
        </w:rPr>
        <w:t>verweist</w:t>
      </w:r>
      <w:r w:rsidR="007560DE" w:rsidRPr="00073E8F">
        <w:rPr>
          <w:rFonts w:ascii="Arial" w:hAnsi="Arial" w:cs="Arial"/>
        </w:rPr>
        <w:t xml:space="preserve"> </w:t>
      </w:r>
      <w:r w:rsidR="001F436E">
        <w:rPr>
          <w:rFonts w:ascii="Arial" w:hAnsi="Arial" w:cs="Arial"/>
        </w:rPr>
        <w:t>Soysal</w:t>
      </w:r>
      <w:r w:rsidR="003B1DF3">
        <w:rPr>
          <w:rFonts w:ascii="Arial" w:hAnsi="Arial" w:cs="Arial"/>
        </w:rPr>
        <w:t xml:space="preserve"> </w:t>
      </w:r>
      <w:r w:rsidR="007560DE" w:rsidRPr="00073E8F">
        <w:rPr>
          <w:rFonts w:ascii="Arial" w:hAnsi="Arial" w:cs="Arial"/>
        </w:rPr>
        <w:t xml:space="preserve">auf </w:t>
      </w:r>
      <w:r w:rsidR="00CE50D3" w:rsidRPr="00073E8F">
        <w:rPr>
          <w:rFonts w:ascii="Arial" w:hAnsi="Arial" w:cs="Arial"/>
        </w:rPr>
        <w:t>die 350-seitige</w:t>
      </w:r>
      <w:r w:rsidR="007560DE" w:rsidRPr="00073E8F">
        <w:rPr>
          <w:rFonts w:ascii="Arial" w:hAnsi="Arial" w:cs="Arial"/>
        </w:rPr>
        <w:t xml:space="preserve"> Evaluation</w:t>
      </w:r>
      <w:r w:rsidR="00CE50D3" w:rsidRPr="00073E8F">
        <w:rPr>
          <w:rFonts w:ascii="Arial" w:hAnsi="Arial" w:cs="Arial"/>
        </w:rPr>
        <w:t xml:space="preserve"> des Präventionsprogramms</w:t>
      </w:r>
      <w:r w:rsidR="007560DE" w:rsidRPr="00073E8F">
        <w:rPr>
          <w:rFonts w:ascii="Arial" w:hAnsi="Arial" w:cs="Arial"/>
        </w:rPr>
        <w:t>. „Über die Hälfte der Befragten haben ihr Bewegungs- und Ernährungsverhalt</w:t>
      </w:r>
      <w:r w:rsidR="00CE50D3" w:rsidRPr="00073E8F">
        <w:rPr>
          <w:rFonts w:ascii="Arial" w:hAnsi="Arial" w:cs="Arial"/>
        </w:rPr>
        <w:t>en verbessert</w:t>
      </w:r>
      <w:r w:rsidR="007560DE" w:rsidRPr="00073E8F">
        <w:rPr>
          <w:rFonts w:ascii="Arial" w:hAnsi="Arial" w:cs="Arial"/>
        </w:rPr>
        <w:t xml:space="preserve">“, zitiert </w:t>
      </w:r>
      <w:r w:rsidR="003B1DF3">
        <w:rPr>
          <w:rFonts w:ascii="Arial" w:hAnsi="Arial" w:cs="Arial"/>
        </w:rPr>
        <w:t xml:space="preserve">Geschäftsbereichsleiter Jörg </w:t>
      </w:r>
      <w:r w:rsidR="00110602">
        <w:rPr>
          <w:rFonts w:ascii="Arial" w:hAnsi="Arial" w:cs="Arial"/>
        </w:rPr>
        <w:t>Nielaczny aus den Ergebnissen.</w:t>
      </w:r>
    </w:p>
    <w:p w:rsidR="00E166D2" w:rsidRPr="00073E8F" w:rsidRDefault="00CE50D3" w:rsidP="00277551">
      <w:pPr>
        <w:spacing w:line="360" w:lineRule="auto"/>
        <w:ind w:right="3684"/>
        <w:jc w:val="both"/>
        <w:rPr>
          <w:rFonts w:ascii="Arial" w:hAnsi="Arial" w:cs="Arial"/>
        </w:rPr>
      </w:pPr>
      <w:r w:rsidRPr="00073E8F">
        <w:rPr>
          <w:rFonts w:ascii="Arial" w:hAnsi="Arial" w:cs="Arial"/>
        </w:rPr>
        <w:t xml:space="preserve">Hintergrund von „Länger besser leben.“ </w:t>
      </w:r>
      <w:r w:rsidR="006D4D59" w:rsidRPr="00073E8F">
        <w:rPr>
          <w:rFonts w:ascii="Arial" w:hAnsi="Arial" w:cs="Arial"/>
        </w:rPr>
        <w:t>i</w:t>
      </w:r>
      <w:r w:rsidRPr="00073E8F">
        <w:rPr>
          <w:rFonts w:ascii="Arial" w:hAnsi="Arial" w:cs="Arial"/>
        </w:rPr>
        <w:t xml:space="preserve">st </w:t>
      </w:r>
      <w:r w:rsidR="006D4D59" w:rsidRPr="00073E8F">
        <w:rPr>
          <w:rFonts w:ascii="Arial" w:hAnsi="Arial" w:cs="Arial"/>
        </w:rPr>
        <w:t>die „EPIC-</w:t>
      </w:r>
      <w:r w:rsidRPr="00073E8F">
        <w:rPr>
          <w:rFonts w:ascii="Arial" w:hAnsi="Arial" w:cs="Arial"/>
        </w:rPr>
        <w:t>Studie</w:t>
      </w:r>
      <w:r w:rsidR="006D4D59" w:rsidRPr="00073E8F">
        <w:rPr>
          <w:rFonts w:ascii="Arial" w:hAnsi="Arial" w:cs="Arial"/>
        </w:rPr>
        <w:t>“</w:t>
      </w:r>
      <w:r w:rsidRPr="00073E8F">
        <w:rPr>
          <w:rFonts w:ascii="Arial" w:hAnsi="Arial" w:cs="Arial"/>
        </w:rPr>
        <w:t xml:space="preserve"> der Universität Cambridge, die einen direkten Zusammenhang zwischen der Beachtung bestimmter Verhaltensweisen und einer </w:t>
      </w:r>
      <w:r w:rsidR="006D4D59" w:rsidRPr="00073E8F">
        <w:rPr>
          <w:rFonts w:ascii="Arial" w:hAnsi="Arial" w:cs="Arial"/>
        </w:rPr>
        <w:t>bis zu 14 Jahre erhöhten</w:t>
      </w:r>
      <w:r w:rsidRPr="00073E8F">
        <w:rPr>
          <w:rFonts w:ascii="Arial" w:hAnsi="Arial" w:cs="Arial"/>
        </w:rPr>
        <w:t xml:space="preserve"> Lebenserwartung herstellt.</w:t>
      </w:r>
      <w:r w:rsidR="006D4D59" w:rsidRPr="00073E8F">
        <w:rPr>
          <w:rFonts w:ascii="Arial" w:hAnsi="Arial" w:cs="Arial"/>
        </w:rPr>
        <w:t xml:space="preserve"> Im Kern geht es um vier einfache „Regeln“ aus den Bereichen Bewegung, Ernährung und Suchtmittelkonsum: Täglich fünf Portionen Obst und Gemüse,  mindestens 30 Minuten körperlicher Aktivität am Tag, auf das Rauchen verzichten, maßvoller Umgang mit Alkohol. </w:t>
      </w:r>
      <w:r w:rsidR="00E166D2" w:rsidRPr="00073E8F">
        <w:rPr>
          <w:rFonts w:ascii="Arial" w:hAnsi="Arial" w:cs="Arial"/>
        </w:rPr>
        <w:t>Die</w:t>
      </w:r>
      <w:r w:rsidR="00C618B6" w:rsidRPr="00073E8F">
        <w:rPr>
          <w:rFonts w:ascii="Arial" w:hAnsi="Arial" w:cs="Arial"/>
        </w:rPr>
        <w:t>se</w:t>
      </w:r>
      <w:r w:rsidR="00E166D2" w:rsidRPr="00073E8F">
        <w:rPr>
          <w:rFonts w:ascii="Arial" w:hAnsi="Arial" w:cs="Arial"/>
        </w:rPr>
        <w:t xml:space="preserve"> zunächst „theoretische“ Formel der Wissenschaftler hat die BKK24 im Sommer 201</w:t>
      </w:r>
      <w:r w:rsidR="006D4D59" w:rsidRPr="00073E8F">
        <w:rPr>
          <w:rFonts w:ascii="Arial" w:hAnsi="Arial" w:cs="Arial"/>
        </w:rPr>
        <w:t>1 aufgegriffen und daraus eine „</w:t>
      </w:r>
      <w:r w:rsidR="00E166D2" w:rsidRPr="00073E8F">
        <w:rPr>
          <w:rFonts w:ascii="Arial" w:hAnsi="Arial" w:cs="Arial"/>
        </w:rPr>
        <w:t xml:space="preserve">praxistaugliche" Gesundheitsinitiative mit konkreten Angeboten entwickelt. </w:t>
      </w:r>
    </w:p>
    <w:p w:rsidR="003B1DF3" w:rsidRDefault="00C618B6" w:rsidP="00277551">
      <w:pPr>
        <w:spacing w:line="360" w:lineRule="auto"/>
        <w:ind w:right="3684"/>
        <w:jc w:val="both"/>
        <w:rPr>
          <w:rFonts w:ascii="Arial" w:hAnsi="Arial" w:cs="Arial"/>
        </w:rPr>
      </w:pPr>
      <w:r w:rsidRPr="00073E8F">
        <w:rPr>
          <w:rFonts w:ascii="Arial" w:hAnsi="Arial" w:cs="Arial"/>
        </w:rPr>
        <w:t xml:space="preserve">Mit „Gesundheit zum Erleben und zum Anfassen“, wie es </w:t>
      </w:r>
      <w:r w:rsidR="001F436E">
        <w:rPr>
          <w:rFonts w:ascii="Arial" w:hAnsi="Arial" w:cs="Arial"/>
        </w:rPr>
        <w:t>Soysal und</w:t>
      </w:r>
      <w:r w:rsidR="003B1DF3">
        <w:rPr>
          <w:rFonts w:ascii="Arial" w:hAnsi="Arial" w:cs="Arial"/>
        </w:rPr>
        <w:t xml:space="preserve"> Nielaczny gemeinsam</w:t>
      </w:r>
      <w:r w:rsidRPr="00073E8F">
        <w:rPr>
          <w:rFonts w:ascii="Arial" w:hAnsi="Arial" w:cs="Arial"/>
        </w:rPr>
        <w:t xml:space="preserve"> formulieren, geht es auch gleich </w:t>
      </w:r>
      <w:r w:rsidR="003B1DF3">
        <w:rPr>
          <w:rFonts w:ascii="Arial" w:hAnsi="Arial" w:cs="Arial"/>
        </w:rPr>
        <w:t>in diesem Jahr weiter. Anfang Februar startet die beliebte Frühjahrskur der BKK2</w:t>
      </w:r>
      <w:r w:rsidR="000803C9">
        <w:rPr>
          <w:rFonts w:ascii="Arial" w:hAnsi="Arial" w:cs="Arial"/>
        </w:rPr>
        <w:t>4 und es warten auf die Teilnehmer viele Angebote für einen fitten Start in den Frühling. „</w:t>
      </w:r>
      <w:r w:rsidR="000803C9" w:rsidRPr="000803C9">
        <w:rPr>
          <w:rFonts w:ascii="Arial" w:hAnsi="Arial" w:cs="Arial"/>
        </w:rPr>
        <w:t xml:space="preserve">Mit Videos, Rezepten, Infografiken, Online-Coaches, </w:t>
      </w:r>
      <w:r w:rsidR="000803C9">
        <w:rPr>
          <w:rFonts w:ascii="Arial" w:hAnsi="Arial" w:cs="Arial"/>
        </w:rPr>
        <w:t xml:space="preserve">regionalen Aktionen, </w:t>
      </w:r>
      <w:r w:rsidR="000803C9" w:rsidRPr="000803C9">
        <w:rPr>
          <w:rFonts w:ascii="Arial" w:hAnsi="Arial" w:cs="Arial"/>
        </w:rPr>
        <w:t xml:space="preserve">exklusiven Vorteilen und kleinen Anreizen begleiten </w:t>
      </w:r>
      <w:r w:rsidR="000803C9" w:rsidRPr="000803C9">
        <w:rPr>
          <w:rFonts w:ascii="Arial" w:hAnsi="Arial" w:cs="Arial"/>
        </w:rPr>
        <w:lastRenderedPageBreak/>
        <w:t xml:space="preserve">wir Sie </w:t>
      </w:r>
      <w:r w:rsidR="000803C9">
        <w:rPr>
          <w:rFonts w:ascii="Arial" w:hAnsi="Arial" w:cs="Arial"/>
        </w:rPr>
        <w:t xml:space="preserve">über 13 Wochen“, gibt Soysal schon vorab einen kurzen Einblick. Das Mitmachen bei der Frühjahrskur – wie auch bei „Länger besser leben.“ insgesamt – ist unabhängig von einer BKK24-Mitgliedschaft und ohne Verpflichtungen. </w:t>
      </w:r>
      <w:r w:rsidR="009033FE">
        <w:rPr>
          <w:rFonts w:ascii="Arial" w:hAnsi="Arial" w:cs="Arial"/>
        </w:rPr>
        <w:t xml:space="preserve">Einfach die Internetseite </w:t>
      </w:r>
      <w:r w:rsidR="009033FE" w:rsidRPr="00FD2A0B">
        <w:rPr>
          <w:rFonts w:ascii="Arial" w:hAnsi="Arial" w:cs="Arial"/>
        </w:rPr>
        <w:t>www.bkk24.de/fruehjahrskur</w:t>
      </w:r>
      <w:r w:rsidR="009033FE">
        <w:rPr>
          <w:rFonts w:ascii="Arial" w:hAnsi="Arial" w:cs="Arial"/>
        </w:rPr>
        <w:t xml:space="preserve"> aufrufen und nach wenigen Schritten ist man dabei. </w:t>
      </w:r>
    </w:p>
    <w:p w:rsidR="00FD2A0B" w:rsidRPr="00D26084" w:rsidRDefault="00FD2A0B" w:rsidP="00FD2A0B">
      <w:pPr>
        <w:spacing w:line="360" w:lineRule="auto"/>
        <w:ind w:right="34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Kann bei der Frühjahrskur und „Länger besser leben.“ jeder mitmachen, setzen die über 80 Extraleistungen der BKK24 eine Mitgliedschaft voraus. Dabei lohnt ein regelmäßiger Blick auf </w:t>
      </w:r>
      <w:r w:rsidRPr="00157851">
        <w:rPr>
          <w:rFonts w:ascii="Arial" w:hAnsi="Arial" w:cs="Arial"/>
        </w:rPr>
        <w:t>www.bkk24.de/extras</w:t>
      </w:r>
      <w:r>
        <w:rPr>
          <w:rFonts w:ascii="Arial" w:hAnsi="Arial" w:cs="Arial"/>
        </w:rPr>
        <w:t>. Dort sind alle über dem gesetzlichen Standard liegenden Angebote aufgeführt und man sieht, welchen Wert die Leistung hat. Außerdem sind dort die Ansprechpartner der BKK24-Servicecenter in Stadthagen, Rinteln und Obernkirchen zu finden.</w:t>
      </w:r>
    </w:p>
    <w:p w:rsidR="00FD2A0B" w:rsidRPr="00157851" w:rsidRDefault="00FD2A0B" w:rsidP="00FD2A0B">
      <w:pPr>
        <w:spacing w:line="360" w:lineRule="auto"/>
        <w:ind w:right="39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Beispielhafte </w:t>
      </w:r>
      <w:r w:rsidR="00B03A73">
        <w:rPr>
          <w:rFonts w:ascii="Arial" w:hAnsi="Arial" w:cs="Arial"/>
          <w:b/>
        </w:rPr>
        <w:t>Extraleistungen</w:t>
      </w:r>
    </w:p>
    <w:p w:rsidR="00FD2A0B" w:rsidRDefault="00FD2A0B" w:rsidP="00FD2A0B">
      <w:pPr>
        <w:pStyle w:val="Listenabsatz"/>
        <w:numPr>
          <w:ilvl w:val="0"/>
          <w:numId w:val="5"/>
        </w:numPr>
        <w:spacing w:line="360" w:lineRule="auto"/>
        <w:ind w:left="284" w:right="39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100 Euro „Länger besser leben.“-Bonus </w:t>
      </w:r>
    </w:p>
    <w:p w:rsidR="00FD2A0B" w:rsidRDefault="00FD2A0B" w:rsidP="00FD2A0B">
      <w:pPr>
        <w:pStyle w:val="Listenabsatz"/>
        <w:numPr>
          <w:ilvl w:val="0"/>
          <w:numId w:val="5"/>
        </w:numPr>
        <w:spacing w:line="360" w:lineRule="auto"/>
        <w:ind w:left="284" w:right="39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bis zu 250 Euro für Präventionskurse</w:t>
      </w:r>
    </w:p>
    <w:p w:rsidR="00FD2A0B" w:rsidRDefault="00FD2A0B" w:rsidP="00FD2A0B">
      <w:pPr>
        <w:pStyle w:val="Listenabsatz"/>
        <w:numPr>
          <w:ilvl w:val="0"/>
          <w:numId w:val="5"/>
        </w:numPr>
        <w:spacing w:line="360" w:lineRule="auto"/>
        <w:ind w:left="284" w:right="39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bis zu 360 Euro für Osteopathie</w:t>
      </w:r>
    </w:p>
    <w:p w:rsidR="00FD2A0B" w:rsidRDefault="00FD2A0B" w:rsidP="00FD2A0B">
      <w:pPr>
        <w:pStyle w:val="Listenabsatz"/>
        <w:numPr>
          <w:ilvl w:val="0"/>
          <w:numId w:val="5"/>
        </w:numPr>
        <w:spacing w:line="360" w:lineRule="auto"/>
        <w:ind w:left="284" w:right="39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bis zu 125 Euro für professionelle Zahnreinigung</w:t>
      </w:r>
    </w:p>
    <w:p w:rsidR="00FD2A0B" w:rsidRDefault="00FD2A0B" w:rsidP="00FD2A0B">
      <w:pPr>
        <w:pStyle w:val="Listenabsatz"/>
        <w:numPr>
          <w:ilvl w:val="0"/>
          <w:numId w:val="5"/>
        </w:numPr>
        <w:spacing w:line="360" w:lineRule="auto"/>
        <w:ind w:left="284" w:right="39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bis zu 160 Euro für Gesundheitsreisen</w:t>
      </w:r>
    </w:p>
    <w:p w:rsidR="007505F8" w:rsidRPr="00245536" w:rsidRDefault="007505F8" w:rsidP="00245536">
      <w:pPr>
        <w:spacing w:after="120" w:line="360" w:lineRule="auto"/>
        <w:ind w:right="3686"/>
        <w:jc w:val="both"/>
        <w:rPr>
          <w:rFonts w:ascii="Arial" w:hAnsi="Arial" w:cs="Arial"/>
          <w:b/>
          <w:i/>
        </w:rPr>
      </w:pPr>
      <w:r w:rsidRPr="00245536">
        <w:rPr>
          <w:rFonts w:ascii="Arial" w:hAnsi="Arial" w:cs="Arial"/>
          <w:b/>
          <w:i/>
        </w:rPr>
        <w:t>Bildunterschrift</w:t>
      </w:r>
    </w:p>
    <w:p w:rsidR="00144C48" w:rsidRDefault="009033FE" w:rsidP="009033FE">
      <w:pPr>
        <w:spacing w:line="360" w:lineRule="auto"/>
        <w:ind w:right="3684"/>
        <w:jc w:val="both"/>
        <w:rPr>
          <w:rFonts w:ascii="Arial" w:hAnsi="Arial" w:cs="Arial"/>
        </w:rPr>
      </w:pPr>
      <w:r w:rsidRPr="009033FE">
        <w:rPr>
          <w:rFonts w:ascii="Arial" w:hAnsi="Arial" w:cs="Arial"/>
        </w:rPr>
        <w:t xml:space="preserve">BKK24-Mitarbeiter Vahdet Soysal, „Länger besser leben.“-Regionalleiter </w:t>
      </w:r>
      <w:r w:rsidR="001F436E">
        <w:rPr>
          <w:rFonts w:ascii="Arial" w:hAnsi="Arial" w:cs="Arial"/>
        </w:rPr>
        <w:t>für</w:t>
      </w:r>
      <w:r w:rsidRPr="009033FE">
        <w:rPr>
          <w:rFonts w:ascii="Arial" w:hAnsi="Arial" w:cs="Arial"/>
        </w:rPr>
        <w:t xml:space="preserve"> Schaumburg</w:t>
      </w:r>
    </w:p>
    <w:sectPr w:rsidR="00144C48" w:rsidSect="00A321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71BA9"/>
    <w:multiLevelType w:val="hybridMultilevel"/>
    <w:tmpl w:val="5D002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7FC4"/>
    <w:multiLevelType w:val="hybridMultilevel"/>
    <w:tmpl w:val="B3181EB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3D6F"/>
    <w:multiLevelType w:val="hybridMultilevel"/>
    <w:tmpl w:val="1416EC2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D63D3"/>
    <w:multiLevelType w:val="hybridMultilevel"/>
    <w:tmpl w:val="B164C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67C28"/>
    <w:multiLevelType w:val="hybridMultilevel"/>
    <w:tmpl w:val="9F46A8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5C"/>
    <w:rsid w:val="0002028C"/>
    <w:rsid w:val="000300C2"/>
    <w:rsid w:val="00043580"/>
    <w:rsid w:val="00062503"/>
    <w:rsid w:val="00073E8F"/>
    <w:rsid w:val="000800EE"/>
    <w:rsid w:val="000803C9"/>
    <w:rsid w:val="0009045B"/>
    <w:rsid w:val="000942DB"/>
    <w:rsid w:val="000A2760"/>
    <w:rsid w:val="000D53DE"/>
    <w:rsid w:val="00110602"/>
    <w:rsid w:val="00144C48"/>
    <w:rsid w:val="00175F2F"/>
    <w:rsid w:val="001826BC"/>
    <w:rsid w:val="0018560E"/>
    <w:rsid w:val="00187B21"/>
    <w:rsid w:val="001D6A1D"/>
    <w:rsid w:val="001E7584"/>
    <w:rsid w:val="001F436E"/>
    <w:rsid w:val="001F5E2B"/>
    <w:rsid w:val="002007C8"/>
    <w:rsid w:val="00245536"/>
    <w:rsid w:val="00277551"/>
    <w:rsid w:val="002B7B11"/>
    <w:rsid w:val="002C6D2E"/>
    <w:rsid w:val="002D44E3"/>
    <w:rsid w:val="002D70F3"/>
    <w:rsid w:val="003154C0"/>
    <w:rsid w:val="00325999"/>
    <w:rsid w:val="00342486"/>
    <w:rsid w:val="003677BB"/>
    <w:rsid w:val="0037738E"/>
    <w:rsid w:val="00377FE8"/>
    <w:rsid w:val="0038548F"/>
    <w:rsid w:val="003B1DF3"/>
    <w:rsid w:val="003B2AED"/>
    <w:rsid w:val="003B6E97"/>
    <w:rsid w:val="003C78E7"/>
    <w:rsid w:val="003F7737"/>
    <w:rsid w:val="004701BD"/>
    <w:rsid w:val="00473439"/>
    <w:rsid w:val="00475E39"/>
    <w:rsid w:val="004A23B8"/>
    <w:rsid w:val="004B219E"/>
    <w:rsid w:val="004D59A0"/>
    <w:rsid w:val="004E0D30"/>
    <w:rsid w:val="004E57FD"/>
    <w:rsid w:val="005145CE"/>
    <w:rsid w:val="00525BAB"/>
    <w:rsid w:val="0053064E"/>
    <w:rsid w:val="005373AD"/>
    <w:rsid w:val="00541478"/>
    <w:rsid w:val="005473B9"/>
    <w:rsid w:val="00554032"/>
    <w:rsid w:val="005A3755"/>
    <w:rsid w:val="005B06EB"/>
    <w:rsid w:val="005D0C76"/>
    <w:rsid w:val="005D32CE"/>
    <w:rsid w:val="005D71F3"/>
    <w:rsid w:val="005E2D9B"/>
    <w:rsid w:val="005F166B"/>
    <w:rsid w:val="005F1897"/>
    <w:rsid w:val="005F4FFB"/>
    <w:rsid w:val="00617062"/>
    <w:rsid w:val="00690E8B"/>
    <w:rsid w:val="006B5124"/>
    <w:rsid w:val="006D4D59"/>
    <w:rsid w:val="0072584F"/>
    <w:rsid w:val="00725BE7"/>
    <w:rsid w:val="0073759D"/>
    <w:rsid w:val="007505F8"/>
    <w:rsid w:val="007560DE"/>
    <w:rsid w:val="0076028C"/>
    <w:rsid w:val="00776A95"/>
    <w:rsid w:val="007A256A"/>
    <w:rsid w:val="007E6A59"/>
    <w:rsid w:val="00807006"/>
    <w:rsid w:val="00824BCA"/>
    <w:rsid w:val="008461FF"/>
    <w:rsid w:val="00864C0B"/>
    <w:rsid w:val="00867457"/>
    <w:rsid w:val="0089674B"/>
    <w:rsid w:val="008C6D66"/>
    <w:rsid w:val="008F565E"/>
    <w:rsid w:val="009033FE"/>
    <w:rsid w:val="00903ED7"/>
    <w:rsid w:val="009156BD"/>
    <w:rsid w:val="00934318"/>
    <w:rsid w:val="00935289"/>
    <w:rsid w:val="0093674F"/>
    <w:rsid w:val="0094393F"/>
    <w:rsid w:val="0094670F"/>
    <w:rsid w:val="009736FB"/>
    <w:rsid w:val="00984DA2"/>
    <w:rsid w:val="009B71C2"/>
    <w:rsid w:val="00A04EC1"/>
    <w:rsid w:val="00A21F2B"/>
    <w:rsid w:val="00A239B8"/>
    <w:rsid w:val="00A321E7"/>
    <w:rsid w:val="00A57316"/>
    <w:rsid w:val="00A573DE"/>
    <w:rsid w:val="00AA5239"/>
    <w:rsid w:val="00AB1DAF"/>
    <w:rsid w:val="00AB6C9B"/>
    <w:rsid w:val="00AD0A6B"/>
    <w:rsid w:val="00AD5F47"/>
    <w:rsid w:val="00AE1A87"/>
    <w:rsid w:val="00AF6BAE"/>
    <w:rsid w:val="00B03A73"/>
    <w:rsid w:val="00B32B25"/>
    <w:rsid w:val="00B52C3A"/>
    <w:rsid w:val="00B64304"/>
    <w:rsid w:val="00B81ACF"/>
    <w:rsid w:val="00B95673"/>
    <w:rsid w:val="00B96F45"/>
    <w:rsid w:val="00BA0DF4"/>
    <w:rsid w:val="00BF0E81"/>
    <w:rsid w:val="00BF3A48"/>
    <w:rsid w:val="00C00F42"/>
    <w:rsid w:val="00C07722"/>
    <w:rsid w:val="00C137CE"/>
    <w:rsid w:val="00C1471A"/>
    <w:rsid w:val="00C25A88"/>
    <w:rsid w:val="00C42FCC"/>
    <w:rsid w:val="00C57202"/>
    <w:rsid w:val="00C618B6"/>
    <w:rsid w:val="00C64B78"/>
    <w:rsid w:val="00C71E89"/>
    <w:rsid w:val="00C91C5C"/>
    <w:rsid w:val="00CD3DB5"/>
    <w:rsid w:val="00CE50D3"/>
    <w:rsid w:val="00D03859"/>
    <w:rsid w:val="00D130E0"/>
    <w:rsid w:val="00D13575"/>
    <w:rsid w:val="00D31413"/>
    <w:rsid w:val="00D457AB"/>
    <w:rsid w:val="00D77772"/>
    <w:rsid w:val="00D84800"/>
    <w:rsid w:val="00D91CA3"/>
    <w:rsid w:val="00DC557A"/>
    <w:rsid w:val="00DE62DE"/>
    <w:rsid w:val="00E166D2"/>
    <w:rsid w:val="00E625C1"/>
    <w:rsid w:val="00E66906"/>
    <w:rsid w:val="00E66D59"/>
    <w:rsid w:val="00E741C0"/>
    <w:rsid w:val="00E77202"/>
    <w:rsid w:val="00EB04BF"/>
    <w:rsid w:val="00ED18F2"/>
    <w:rsid w:val="00EF57EE"/>
    <w:rsid w:val="00F055A4"/>
    <w:rsid w:val="00F060CE"/>
    <w:rsid w:val="00F147AA"/>
    <w:rsid w:val="00F45C9F"/>
    <w:rsid w:val="00F55AA5"/>
    <w:rsid w:val="00F60BAF"/>
    <w:rsid w:val="00FA4BEC"/>
    <w:rsid w:val="00FD037B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700A7-8048-4D06-8A0F-C39B3A4B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C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1C5C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06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06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06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06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064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8560E"/>
    <w:pPr>
      <w:ind w:left="720"/>
      <w:contextualSpacing/>
    </w:pPr>
  </w:style>
  <w:style w:type="paragraph" w:styleId="KeinLeerraum">
    <w:name w:val="No Spacing"/>
    <w:uiPriority w:val="1"/>
    <w:qFormat/>
    <w:rsid w:val="005D32CE"/>
    <w:pPr>
      <w:spacing w:after="0" w:line="240" w:lineRule="auto"/>
    </w:pPr>
    <w:rPr>
      <w:rFonts w:ascii="Calibri" w:eastAsia="Calibri" w:hAnsi="Calibri" w:cs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03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1F5B-EE61-49B4-AEF9-7294C7BA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2890</Characters>
  <Application>Microsoft Office Word</Application>
  <DocSecurity>0</DocSecurity>
  <Lines>289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BKK24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Nielaczny, Jörg - BKK24</dc:creator>
  <cp:lastModifiedBy>Nielaczny, Jörg - BKK24</cp:lastModifiedBy>
  <cp:revision>9</cp:revision>
  <cp:lastPrinted>2018-07-12T09:48:00Z</cp:lastPrinted>
  <dcterms:created xsi:type="dcterms:W3CDTF">2019-01-13T12:37:00Z</dcterms:created>
  <dcterms:modified xsi:type="dcterms:W3CDTF">2019-01-14T16:53:00Z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acht_sb_original">
    <vt:lpwstr>0;0</vt:lpwstr>
  </property>
  <property fmtid="{D5CDD505-2E9C-101B-9397-08002B2CF9AE}" pid="3" name="lokal_gedruckt">
    <vt:bool>true</vt:bool>
  </property>
</Properties>
</file>